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
        <w:ind w:right="1066"/>
        <w:jc w:val="right"/>
      </w:pPr>
      <w:r>
        <w:rPr>
          <w:color w:val="FF0000"/>
          <w:spacing w:val="-2"/>
        </w:rPr>
        <w:t>ნიმუში</w:t>
      </w:r>
    </w:p>
    <w:p>
      <w:pPr>
        <w:pStyle w:val="BodyText"/>
        <w:spacing w:line="261" w:lineRule="auto" w:before="180"/>
        <w:ind w:left="2" w:right="359"/>
        <w:jc w:val="center"/>
      </w:pPr>
      <w:r>
        <w:rPr>
          <w:color w:val="FF0000"/>
        </w:rPr>
        <w:t>შენიშვნა: ხელშეკრულების შევსებისას გაითვალისწინეთ, რომ ხელშეკრულებაში უნდა დაეჩეს</w:t>
      </w:r>
      <w:r>
        <w:rPr>
          <w:color w:val="FF0000"/>
          <w:spacing w:val="-4"/>
        </w:rPr>
        <w:t> </w:t>
      </w:r>
      <w:r>
        <w:rPr>
          <w:color w:val="FF0000"/>
        </w:rPr>
        <w:t>ერთი</w:t>
      </w:r>
      <w:r>
        <w:rPr>
          <w:color w:val="FF0000"/>
          <w:spacing w:val="-4"/>
        </w:rPr>
        <w:t> </w:t>
      </w:r>
      <w:r>
        <w:rPr>
          <w:color w:val="FF0000"/>
        </w:rPr>
        <w:t>პირი,</w:t>
      </w:r>
      <w:r>
        <w:rPr>
          <w:color w:val="FF0000"/>
          <w:spacing w:val="-3"/>
        </w:rPr>
        <w:t> </w:t>
      </w:r>
      <w:r>
        <w:rPr>
          <w:color w:val="FF0000"/>
        </w:rPr>
        <w:t>ასოცირებული</w:t>
      </w:r>
      <w:r>
        <w:rPr>
          <w:color w:val="FF0000"/>
          <w:spacing w:val="-3"/>
        </w:rPr>
        <w:t> </w:t>
      </w:r>
      <w:r>
        <w:rPr>
          <w:color w:val="FF0000"/>
        </w:rPr>
        <w:t>ან</w:t>
      </w:r>
      <w:r>
        <w:rPr>
          <w:color w:val="FF0000"/>
          <w:spacing w:val="-2"/>
        </w:rPr>
        <w:t> </w:t>
      </w:r>
      <w:r>
        <w:rPr>
          <w:color w:val="FF0000"/>
        </w:rPr>
        <w:t>ინვესტორი,</w:t>
      </w:r>
      <w:r>
        <w:rPr>
          <w:color w:val="FF0000"/>
          <w:spacing w:val="-3"/>
        </w:rPr>
        <w:t> </w:t>
      </w:r>
      <w:r>
        <w:rPr>
          <w:color w:val="FF0000"/>
        </w:rPr>
        <w:t>იმისდა</w:t>
      </w:r>
      <w:r>
        <w:rPr>
          <w:color w:val="FF0000"/>
          <w:spacing w:val="-2"/>
        </w:rPr>
        <w:t> </w:t>
      </w:r>
      <w:r>
        <w:rPr>
          <w:color w:val="FF0000"/>
        </w:rPr>
        <w:t>მიხედვით</w:t>
      </w:r>
      <w:r>
        <w:rPr>
          <w:color w:val="FF0000"/>
          <w:spacing w:val="-4"/>
        </w:rPr>
        <w:t> </w:t>
      </w:r>
      <w:r>
        <w:rPr>
          <w:color w:val="FF0000"/>
        </w:rPr>
        <w:t>რომელსაც</w:t>
      </w:r>
      <w:r>
        <w:rPr>
          <w:color w:val="FF0000"/>
          <w:spacing w:val="-4"/>
        </w:rPr>
        <w:t> </w:t>
      </w:r>
      <w:r>
        <w:rPr>
          <w:color w:val="FF0000"/>
        </w:rPr>
        <w:t>მიიღებთ</w:t>
      </w:r>
    </w:p>
    <w:p>
      <w:pPr>
        <w:pStyle w:val="BodyText"/>
      </w:pPr>
    </w:p>
    <w:p>
      <w:pPr>
        <w:pStyle w:val="BodyText"/>
        <w:spacing w:before="49"/>
      </w:pPr>
    </w:p>
    <w:p>
      <w:pPr>
        <w:pStyle w:val="BodyText"/>
        <w:ind w:right="353"/>
        <w:jc w:val="center"/>
      </w:pPr>
      <w:r>
        <w:rPr/>
        <w:t>ხელშეკრულება</w:t>
      </w:r>
      <w:r>
        <w:rPr>
          <w:spacing w:val="-8"/>
        </w:rPr>
        <w:t> </w:t>
      </w:r>
      <w:r>
        <w:rPr>
          <w:spacing w:val="-10"/>
        </w:rPr>
        <w:t>N</w:t>
      </w:r>
    </w:p>
    <w:p>
      <w:pPr>
        <w:pStyle w:val="BodyText"/>
        <w:spacing w:before="184"/>
        <w:ind w:right="413"/>
        <w:jc w:val="right"/>
      </w:pPr>
      <w:r>
        <w:rPr/>
        <mc:AlternateContent>
          <mc:Choice Requires="wps">
            <w:drawing>
              <wp:anchor distT="0" distB="0" distL="0" distR="0" allowOverlap="1" layoutInCell="1" locked="0" behindDoc="0" simplePos="0" relativeHeight="15728640">
                <wp:simplePos x="0" y="0"/>
                <wp:positionH relativeFrom="page">
                  <wp:posOffset>949756</wp:posOffset>
                </wp:positionH>
                <wp:positionV relativeFrom="paragraph">
                  <wp:posOffset>273246</wp:posOffset>
                </wp:positionV>
                <wp:extent cx="909955"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909955" cy="1270"/>
                        </a:xfrm>
                        <a:custGeom>
                          <a:avLst/>
                          <a:gdLst/>
                          <a:ahLst/>
                          <a:cxnLst/>
                          <a:rect l="l" t="t" r="r" b="b"/>
                          <a:pathLst>
                            <a:path w="909955" h="0">
                              <a:moveTo>
                                <a:pt x="0" y="0"/>
                              </a:moveTo>
                              <a:lnTo>
                                <a:pt x="909809" y="0"/>
                              </a:lnTo>
                            </a:path>
                          </a:pathLst>
                        </a:custGeom>
                        <a:ln w="65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74.783997pt,21.515488pt" to="146.42256pt,21.515488pt" stroked="true" strokeweight=".512153pt" strokecolor="#000000">
                <v:stroke dashstyle="solid"/>
                <w10:wrap type="none"/>
              </v:line>
            </w:pict>
          </mc:Fallback>
        </mc:AlternateContent>
      </w:r>
      <w:r>
        <w:rPr/>
        <mc:AlternateContent>
          <mc:Choice Requires="wps">
            <w:drawing>
              <wp:anchor distT="0" distB="0" distL="0" distR="0" allowOverlap="1" layoutInCell="1" locked="0" behindDoc="0" simplePos="0" relativeHeight="15729152">
                <wp:simplePos x="0" y="0"/>
                <wp:positionH relativeFrom="page">
                  <wp:posOffset>4764913</wp:posOffset>
                </wp:positionH>
                <wp:positionV relativeFrom="paragraph">
                  <wp:posOffset>217552</wp:posOffset>
                </wp:positionV>
                <wp:extent cx="1360170" cy="762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360170" cy="7620"/>
                          <a:chExt cx="1360170" cy="7620"/>
                        </a:xfrm>
                      </wpg:grpSpPr>
                      <wps:wsp>
                        <wps:cNvPr id="3" name="Graphic 3"/>
                        <wps:cNvSpPr/>
                        <wps:spPr>
                          <a:xfrm>
                            <a:off x="0" y="3662"/>
                            <a:ext cx="160020" cy="1270"/>
                          </a:xfrm>
                          <a:custGeom>
                            <a:avLst/>
                            <a:gdLst/>
                            <a:ahLst/>
                            <a:cxnLst/>
                            <a:rect l="l" t="t" r="r" b="b"/>
                            <a:pathLst>
                              <a:path w="160020" h="0">
                                <a:moveTo>
                                  <a:pt x="0" y="0"/>
                                </a:moveTo>
                                <a:lnTo>
                                  <a:pt x="160018" y="0"/>
                                </a:lnTo>
                              </a:path>
                            </a:pathLst>
                          </a:custGeom>
                          <a:ln w="7325">
                            <a:solidFill>
                              <a:srgbClr val="000000"/>
                            </a:solidFill>
                            <a:prstDash val="dash"/>
                          </a:ln>
                        </wps:spPr>
                        <wps:bodyPr wrap="square" lIns="0" tIns="0" rIns="0" bIns="0" rtlCol="0">
                          <a:prstTxWarp prst="textNoShape">
                            <a:avLst/>
                          </a:prstTxWarp>
                          <a:noAutofit/>
                        </wps:bodyPr>
                      </wps:wsp>
                      <wps:wsp>
                        <wps:cNvPr id="4" name="Graphic 4"/>
                        <wps:cNvSpPr/>
                        <wps:spPr>
                          <a:xfrm>
                            <a:off x="193547" y="3662"/>
                            <a:ext cx="1166495" cy="1270"/>
                          </a:xfrm>
                          <a:custGeom>
                            <a:avLst/>
                            <a:gdLst/>
                            <a:ahLst/>
                            <a:cxnLst/>
                            <a:rect l="l" t="t" r="r" b="b"/>
                            <a:pathLst>
                              <a:path w="1166495" h="0">
                                <a:moveTo>
                                  <a:pt x="0" y="0"/>
                                </a:moveTo>
                                <a:lnTo>
                                  <a:pt x="1166250" y="0"/>
                                </a:lnTo>
                              </a:path>
                            </a:pathLst>
                          </a:custGeom>
                          <a:ln w="7325">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375.190002pt;margin-top:17.130106pt;width:107.1pt;height:.6pt;mso-position-horizontal-relative:page;mso-position-vertical-relative:paragraph;z-index:15729152" id="docshapegroup1" coordorigin="7504,343" coordsize="2142,12">
                <v:line style="position:absolute" from="7504,348" to="7756,348" stroked="true" strokeweight=".57684pt" strokecolor="#000000">
                  <v:stroke dashstyle="dash"/>
                </v:line>
                <v:line style="position:absolute" from="7809,348" to="9645,348" stroked="true" strokeweight=".57684pt" strokecolor="#000000">
                  <v:stroke dashstyle="dash"/>
                </v:line>
                <w10:wrap type="none"/>
              </v:group>
            </w:pict>
          </mc:Fallback>
        </mc:AlternateContent>
      </w:r>
      <w:r>
        <w:rPr/>
        <w:t>2022 </w:t>
      </w:r>
      <w:r>
        <w:rPr>
          <w:spacing w:val="-4"/>
        </w:rPr>
        <w:t>წელი</w:t>
      </w:r>
    </w:p>
    <w:p>
      <w:pPr>
        <w:pStyle w:val="BodyText"/>
      </w:pPr>
    </w:p>
    <w:p>
      <w:pPr>
        <w:pStyle w:val="BodyText"/>
        <w:spacing w:before="73"/>
      </w:pPr>
    </w:p>
    <w:p>
      <w:pPr>
        <w:pStyle w:val="BodyText"/>
        <w:tabs>
          <w:tab w:pos="3627" w:val="left" w:leader="none"/>
          <w:tab w:pos="3750" w:val="left" w:leader="none"/>
          <w:tab w:pos="4421" w:val="left" w:leader="none"/>
          <w:tab w:pos="5240" w:val="left" w:leader="none"/>
          <w:tab w:pos="5513" w:val="left" w:leader="none"/>
          <w:tab w:pos="6337" w:val="left" w:leader="none"/>
        </w:tabs>
        <w:spacing w:line="259" w:lineRule="auto" w:before="1"/>
        <w:ind w:right="353"/>
        <w:jc w:val="both"/>
      </w:pPr>
      <w:r>
        <w:rPr/>
        <w:t>ერთის</w:t>
      </w:r>
      <w:r>
        <w:rPr>
          <w:spacing w:val="40"/>
        </w:rPr>
        <w:t> </w:t>
      </w:r>
      <w:r>
        <w:rPr/>
        <w:t>მხრივ,</w:t>
      </w:r>
      <w:r>
        <w:rPr>
          <w:spacing w:val="40"/>
        </w:rPr>
        <w:t> </w:t>
      </w:r>
      <w:r>
        <w:rPr/>
        <w:t>კოოპერატივი</w:t>
      </w:r>
      <w:r>
        <w:rPr>
          <w:spacing w:val="40"/>
        </w:rPr>
        <w:t> </w:t>
      </w:r>
      <w:r>
        <w:rPr/>
        <w:t>„</w:t>
      </w:r>
      <w:r>
        <w:rPr>
          <w:rFonts w:ascii="Times New Roman" w:hAnsi="Times New Roman" w:cs="Times New Roman" w:eastAsia="Times New Roman"/>
          <w:u w:val="single"/>
        </w:rPr>
        <w:tab/>
        <w:tab/>
        <w:tab/>
      </w:r>
      <w:r>
        <w:rPr/>
        <w:t>“</w:t>
      </w:r>
      <w:r>
        <w:rPr>
          <w:spacing w:val="40"/>
        </w:rPr>
        <w:t> </w:t>
      </w:r>
      <w:r>
        <w:rPr/>
        <w:t>(ს/კ</w:t>
      </w:r>
      <w:r>
        <w:rPr>
          <w:spacing w:val="78"/>
        </w:rPr>
        <w:t> </w:t>
      </w:r>
      <w:r>
        <w:rPr>
          <w:u w:val="single"/>
        </w:rPr>
        <w:tab/>
        <w:tab/>
        <w:tab/>
      </w:r>
      <w:r>
        <w:rPr/>
        <w:t>), წარმოდგენილი გამგეობის თავმჯდომარის </w:t>
      </w:r>
      <w:r>
        <w:rPr>
          <w:rFonts w:ascii="Times New Roman" w:hAnsi="Times New Roman" w:cs="Times New Roman" w:eastAsia="Times New Roman"/>
          <w:u w:val="single"/>
        </w:rPr>
        <w:tab/>
        <w:tab/>
      </w:r>
      <w:r>
        <w:rPr/>
        <w:t>(პ/ნ </w:t>
      </w:r>
      <w:r>
        <w:rPr>
          <w:rFonts w:ascii="Times New Roman" w:hAnsi="Times New Roman" w:cs="Times New Roman" w:eastAsia="Times New Roman"/>
          <w:u w:val="single"/>
        </w:rPr>
        <w:tab/>
        <w:tab/>
        <w:tab/>
      </w:r>
      <w:r>
        <w:rPr/>
        <w:t>) მიერ, შემდგომში „კოოპერატივი“ და მეორეს მხრივ </w:t>
      </w:r>
      <w:r>
        <w:rPr>
          <w:rFonts w:ascii="Times New Roman" w:hAnsi="Times New Roman" w:cs="Times New Roman" w:eastAsia="Times New Roman"/>
          <w:u w:val="single"/>
        </w:rPr>
        <w:tab/>
      </w:r>
      <w:r>
        <w:rPr/>
        <w:t>(პ/ნ </w:t>
      </w:r>
      <w:r>
        <w:rPr>
          <w:u w:val="single"/>
        </w:rPr>
        <w:tab/>
        <w:tab/>
      </w:r>
      <w:r>
        <w:rPr/>
        <w:t>),</w:t>
      </w:r>
      <w:r>
        <w:rPr>
          <w:spacing w:val="-14"/>
        </w:rPr>
        <w:t> </w:t>
      </w:r>
      <w:r>
        <w:rPr/>
        <w:t>შემდგომში</w:t>
      </w:r>
      <w:r>
        <w:rPr>
          <w:spacing w:val="-14"/>
        </w:rPr>
        <w:t> </w:t>
      </w:r>
      <w:r>
        <w:rPr/>
        <w:t>„ასოცირებული/</w:t>
      </w:r>
      <w:r>
        <w:rPr>
          <w:color w:val="FF0000"/>
        </w:rPr>
        <w:t>ინვესტორი </w:t>
      </w:r>
      <w:r>
        <w:rPr/>
        <w:t>წევრი“, ვდებთ წინამდებარე ხელშეკრულებას შემდეგ პირობებზე:</w:t>
      </w:r>
    </w:p>
    <w:p>
      <w:pPr>
        <w:pStyle w:val="BodyText"/>
      </w:pPr>
    </w:p>
    <w:p>
      <w:pPr>
        <w:pStyle w:val="BodyText"/>
        <w:spacing w:before="55"/>
      </w:pPr>
    </w:p>
    <w:p>
      <w:pPr>
        <w:pStyle w:val="ListParagraph"/>
        <w:numPr>
          <w:ilvl w:val="0"/>
          <w:numId w:val="1"/>
        </w:numPr>
        <w:tabs>
          <w:tab w:pos="897" w:val="left" w:leader="none"/>
        </w:tabs>
        <w:spacing w:line="240" w:lineRule="auto" w:before="1" w:after="0"/>
        <w:ind w:left="897" w:right="0" w:hanging="359"/>
        <w:jc w:val="left"/>
        <w:rPr>
          <w:sz w:val="22"/>
          <w:szCs w:val="22"/>
        </w:rPr>
      </w:pPr>
      <w:r>
        <w:rPr>
          <w:sz w:val="22"/>
          <w:szCs w:val="22"/>
        </w:rPr>
        <w:t>ასოცირებული/</w:t>
      </w:r>
      <w:r>
        <w:rPr>
          <w:color w:val="FF0000"/>
          <w:sz w:val="22"/>
          <w:szCs w:val="22"/>
        </w:rPr>
        <w:t>ინვესტორი</w:t>
      </w:r>
      <w:r>
        <w:rPr>
          <w:color w:val="FF0000"/>
          <w:spacing w:val="-11"/>
          <w:sz w:val="22"/>
          <w:szCs w:val="22"/>
        </w:rPr>
        <w:t> </w:t>
      </w:r>
      <w:r>
        <w:rPr>
          <w:sz w:val="22"/>
          <w:szCs w:val="22"/>
        </w:rPr>
        <w:t>წევრის</w:t>
      </w:r>
      <w:r>
        <w:rPr>
          <w:spacing w:val="-7"/>
          <w:sz w:val="22"/>
          <w:szCs w:val="22"/>
        </w:rPr>
        <w:t> </w:t>
      </w:r>
      <w:r>
        <w:rPr>
          <w:sz w:val="22"/>
          <w:szCs w:val="22"/>
        </w:rPr>
        <w:t>შენატანის</w:t>
      </w:r>
      <w:r>
        <w:rPr>
          <w:spacing w:val="-6"/>
          <w:sz w:val="22"/>
          <w:szCs w:val="22"/>
        </w:rPr>
        <w:t> </w:t>
      </w:r>
      <w:r>
        <w:rPr>
          <w:sz w:val="22"/>
          <w:szCs w:val="22"/>
        </w:rPr>
        <w:t>განხორციელების</w:t>
      </w:r>
      <w:r>
        <w:rPr>
          <w:spacing w:val="-7"/>
          <w:sz w:val="22"/>
          <w:szCs w:val="22"/>
        </w:rPr>
        <w:t> </w:t>
      </w:r>
      <w:r>
        <w:rPr>
          <w:sz w:val="22"/>
          <w:szCs w:val="22"/>
        </w:rPr>
        <w:t>წესი</w:t>
      </w:r>
      <w:r>
        <w:rPr>
          <w:spacing w:val="-10"/>
          <w:sz w:val="22"/>
          <w:szCs w:val="22"/>
        </w:rPr>
        <w:t> </w:t>
      </w:r>
      <w:r>
        <w:rPr>
          <w:sz w:val="22"/>
          <w:szCs w:val="22"/>
        </w:rPr>
        <w:t>და</w:t>
      </w:r>
      <w:r>
        <w:rPr>
          <w:spacing w:val="-10"/>
          <w:sz w:val="22"/>
          <w:szCs w:val="22"/>
        </w:rPr>
        <w:t> </w:t>
      </w:r>
      <w:r>
        <w:rPr>
          <w:spacing w:val="-2"/>
          <w:sz w:val="22"/>
          <w:szCs w:val="22"/>
        </w:rPr>
        <w:t>პირობები:</w:t>
      </w:r>
    </w:p>
    <w:p>
      <w:pPr>
        <w:pStyle w:val="BodyText"/>
        <w:spacing w:before="37"/>
      </w:pPr>
    </w:p>
    <w:p>
      <w:pPr>
        <w:pStyle w:val="ListParagraph"/>
        <w:numPr>
          <w:ilvl w:val="1"/>
          <w:numId w:val="1"/>
        </w:numPr>
        <w:tabs>
          <w:tab w:pos="360" w:val="left" w:leader="none"/>
          <w:tab w:pos="4160" w:val="left" w:leader="none"/>
          <w:tab w:pos="5998" w:val="left" w:leader="none"/>
        </w:tabs>
        <w:spacing w:line="256" w:lineRule="auto" w:before="0" w:after="0"/>
        <w:ind w:left="360" w:right="353" w:hanging="360"/>
        <w:jc w:val="left"/>
        <w:rPr>
          <w:sz w:val="22"/>
          <w:szCs w:val="22"/>
        </w:rPr>
      </w:pPr>
      <w:r>
        <w:rPr>
          <w:sz w:val="22"/>
          <w:szCs w:val="22"/>
        </w:rPr>
        <w:t>ასოცირებული/</w:t>
      </w:r>
      <w:r>
        <w:rPr>
          <w:color w:val="FF0000"/>
          <w:sz w:val="22"/>
          <w:szCs w:val="22"/>
        </w:rPr>
        <w:t>ინვესტორი</w:t>
      </w:r>
      <w:r>
        <w:rPr>
          <w:color w:val="FF0000"/>
          <w:spacing w:val="80"/>
          <w:sz w:val="22"/>
          <w:szCs w:val="22"/>
        </w:rPr>
        <w:t> </w:t>
      </w:r>
      <w:r>
        <w:rPr>
          <w:sz w:val="22"/>
          <w:szCs w:val="22"/>
        </w:rPr>
        <w:t>წევრის</w:t>
        <w:tab/>
        <w:t>შენატანის</w:t>
      </w:r>
      <w:r>
        <w:rPr>
          <w:spacing w:val="80"/>
          <w:sz w:val="22"/>
          <w:szCs w:val="22"/>
        </w:rPr>
        <w:t> </w:t>
      </w:r>
      <w:r>
        <w:rPr>
          <w:sz w:val="22"/>
          <w:szCs w:val="22"/>
        </w:rPr>
        <w:t>სახე</w:t>
        <w:tab/>
        <w:t>და</w:t>
      </w:r>
      <w:r>
        <w:rPr>
          <w:spacing w:val="80"/>
          <w:sz w:val="22"/>
          <w:szCs w:val="22"/>
        </w:rPr>
        <w:t> </w:t>
      </w:r>
      <w:r>
        <w:rPr>
          <w:sz w:val="22"/>
          <w:szCs w:val="22"/>
        </w:rPr>
        <w:t>რაოდენობა</w:t>
      </w:r>
      <w:r>
        <w:rPr>
          <w:spacing w:val="80"/>
          <w:sz w:val="22"/>
          <w:szCs w:val="22"/>
        </w:rPr>
        <w:t> </w:t>
      </w:r>
      <w:r>
        <w:rPr>
          <w:sz w:val="22"/>
          <w:szCs w:val="22"/>
        </w:rPr>
        <w:t>განისაზღვრება სასოფლო-სამეურნეო კოოპერატივის საჭიროებიდან გამომდინარე საერთო კრების მიერ;</w:t>
      </w:r>
    </w:p>
    <w:p>
      <w:pPr>
        <w:pStyle w:val="BodyText"/>
        <w:spacing w:before="226"/>
        <w:rPr>
          <w:sz w:val="20"/>
        </w:rPr>
      </w:pPr>
    </w:p>
    <w:tbl>
      <w:tblPr>
        <w:tblW w:w="0" w:type="auto"/>
        <w:jc w:val="left"/>
        <w:tblInd w:w="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51"/>
        <w:gridCol w:w="5581"/>
        <w:gridCol w:w="1708"/>
      </w:tblGrid>
      <w:tr>
        <w:trPr>
          <w:trHeight w:val="856" w:hRule="atLeast"/>
        </w:trPr>
        <w:tc>
          <w:tcPr>
            <w:tcW w:w="1351" w:type="dxa"/>
          </w:tcPr>
          <w:p>
            <w:pPr>
              <w:pStyle w:val="TableParagraph"/>
              <w:spacing w:line="273" w:lineRule="auto" w:before="1"/>
              <w:ind w:left="479" w:hanging="264"/>
              <w:rPr>
                <w:sz w:val="22"/>
                <w:szCs w:val="22"/>
              </w:rPr>
            </w:pPr>
            <w:r>
              <w:rPr>
                <w:spacing w:val="-6"/>
                <w:sz w:val="22"/>
                <w:szCs w:val="22"/>
              </w:rPr>
              <w:t>შენატანის </w:t>
            </w:r>
            <w:r>
              <w:rPr>
                <w:spacing w:val="-4"/>
                <w:sz w:val="22"/>
                <w:szCs w:val="22"/>
              </w:rPr>
              <w:t>სახე</w:t>
            </w:r>
          </w:p>
        </w:tc>
        <w:tc>
          <w:tcPr>
            <w:tcW w:w="5581" w:type="dxa"/>
          </w:tcPr>
          <w:p>
            <w:pPr>
              <w:pStyle w:val="TableParagraph"/>
              <w:spacing w:line="289" w:lineRule="exact"/>
              <w:ind w:left="1769"/>
              <w:rPr>
                <w:sz w:val="22"/>
                <w:szCs w:val="22"/>
              </w:rPr>
            </w:pPr>
            <w:r>
              <w:rPr>
                <w:spacing w:val="-4"/>
                <w:sz w:val="22"/>
                <w:szCs w:val="22"/>
              </w:rPr>
              <w:t>ქონების</w:t>
            </w:r>
            <w:r>
              <w:rPr>
                <w:spacing w:val="-1"/>
                <w:sz w:val="22"/>
                <w:szCs w:val="22"/>
              </w:rPr>
              <w:t> </w:t>
            </w:r>
            <w:r>
              <w:rPr>
                <w:spacing w:val="-2"/>
                <w:sz w:val="22"/>
                <w:szCs w:val="22"/>
              </w:rPr>
              <w:t>დასახელება</w:t>
            </w:r>
          </w:p>
        </w:tc>
        <w:tc>
          <w:tcPr>
            <w:tcW w:w="1708" w:type="dxa"/>
          </w:tcPr>
          <w:p>
            <w:pPr>
              <w:pStyle w:val="TableParagraph"/>
              <w:spacing w:before="1"/>
              <w:ind w:left="17" w:right="1"/>
              <w:jc w:val="center"/>
              <w:rPr>
                <w:sz w:val="22"/>
                <w:szCs w:val="22"/>
              </w:rPr>
            </w:pPr>
            <w:r>
              <w:rPr>
                <w:spacing w:val="-2"/>
                <w:sz w:val="22"/>
                <w:szCs w:val="22"/>
              </w:rPr>
              <w:t>ღირებულება</w:t>
            </w:r>
          </w:p>
          <w:p>
            <w:pPr>
              <w:pStyle w:val="TableParagraph"/>
              <w:spacing w:before="42"/>
              <w:ind w:left="17"/>
              <w:jc w:val="center"/>
              <w:rPr>
                <w:sz w:val="22"/>
                <w:szCs w:val="22"/>
              </w:rPr>
            </w:pPr>
            <w:r>
              <w:rPr>
                <w:spacing w:val="-2"/>
                <w:sz w:val="22"/>
                <w:szCs w:val="22"/>
              </w:rPr>
              <w:t>(ლარი)</w:t>
            </w:r>
          </w:p>
        </w:tc>
      </w:tr>
      <w:tr>
        <w:trPr>
          <w:trHeight w:val="349" w:hRule="atLeast"/>
        </w:trPr>
        <w:tc>
          <w:tcPr>
            <w:tcW w:w="1351" w:type="dxa"/>
          </w:tcPr>
          <w:p>
            <w:pPr>
              <w:pStyle w:val="TableParagraph"/>
              <w:spacing w:line="289" w:lineRule="exact"/>
              <w:ind w:left="37" w:right="6"/>
              <w:jc w:val="center"/>
              <w:rPr>
                <w:sz w:val="22"/>
                <w:szCs w:val="22"/>
              </w:rPr>
            </w:pPr>
            <w:r>
              <w:rPr>
                <w:spacing w:val="-2"/>
                <w:sz w:val="22"/>
                <w:szCs w:val="22"/>
              </w:rPr>
              <w:t>ქონება</w:t>
            </w:r>
          </w:p>
        </w:tc>
        <w:tc>
          <w:tcPr>
            <w:tcW w:w="5581" w:type="dxa"/>
          </w:tcPr>
          <w:p>
            <w:pPr>
              <w:pStyle w:val="TableParagraph"/>
              <w:rPr>
                <w:rFonts w:ascii="Times New Roman"/>
                <w:sz w:val="22"/>
              </w:rPr>
            </w:pPr>
          </w:p>
        </w:tc>
        <w:tc>
          <w:tcPr>
            <w:tcW w:w="1708" w:type="dxa"/>
          </w:tcPr>
          <w:p>
            <w:pPr>
              <w:pStyle w:val="TableParagraph"/>
              <w:rPr>
                <w:rFonts w:ascii="Times New Roman"/>
                <w:sz w:val="22"/>
              </w:rPr>
            </w:pPr>
          </w:p>
        </w:tc>
      </w:tr>
      <w:tr>
        <w:trPr>
          <w:trHeight w:val="340" w:hRule="atLeast"/>
        </w:trPr>
        <w:tc>
          <w:tcPr>
            <w:tcW w:w="1351" w:type="dxa"/>
          </w:tcPr>
          <w:p>
            <w:pPr>
              <w:pStyle w:val="TableParagraph"/>
              <w:spacing w:line="289" w:lineRule="exact"/>
              <w:ind w:left="37" w:right="20"/>
              <w:jc w:val="center"/>
              <w:rPr>
                <w:sz w:val="22"/>
                <w:szCs w:val="22"/>
              </w:rPr>
            </w:pPr>
            <w:r>
              <w:rPr>
                <w:spacing w:val="-2"/>
                <w:sz w:val="22"/>
                <w:szCs w:val="22"/>
              </w:rPr>
              <w:t>ფულადი</w:t>
            </w:r>
          </w:p>
        </w:tc>
        <w:tc>
          <w:tcPr>
            <w:tcW w:w="5581" w:type="dxa"/>
          </w:tcPr>
          <w:p>
            <w:pPr>
              <w:pStyle w:val="TableParagraph"/>
              <w:rPr>
                <w:rFonts w:ascii="Times New Roman"/>
                <w:sz w:val="22"/>
              </w:rPr>
            </w:pPr>
          </w:p>
        </w:tc>
        <w:tc>
          <w:tcPr>
            <w:tcW w:w="1708" w:type="dxa"/>
          </w:tcPr>
          <w:p>
            <w:pPr>
              <w:pStyle w:val="TableParagraph"/>
              <w:rPr>
                <w:rFonts w:ascii="Times New Roman"/>
                <w:sz w:val="22"/>
              </w:rPr>
            </w:pPr>
          </w:p>
        </w:tc>
      </w:tr>
      <w:tr>
        <w:trPr>
          <w:trHeight w:val="368" w:hRule="atLeast"/>
        </w:trPr>
        <w:tc>
          <w:tcPr>
            <w:tcW w:w="1351" w:type="dxa"/>
          </w:tcPr>
          <w:p>
            <w:pPr>
              <w:pStyle w:val="TableParagraph"/>
              <w:spacing w:line="289" w:lineRule="exact"/>
              <w:ind w:left="37"/>
              <w:jc w:val="center"/>
              <w:rPr>
                <w:sz w:val="22"/>
                <w:szCs w:val="22"/>
              </w:rPr>
            </w:pPr>
            <w:r>
              <w:rPr>
                <w:spacing w:val="-4"/>
                <w:sz w:val="22"/>
                <w:szCs w:val="22"/>
              </w:rPr>
              <w:t>ჯამი</w:t>
            </w:r>
          </w:p>
        </w:tc>
        <w:tc>
          <w:tcPr>
            <w:tcW w:w="5581" w:type="dxa"/>
          </w:tcPr>
          <w:p>
            <w:pPr>
              <w:pStyle w:val="TableParagraph"/>
              <w:rPr>
                <w:rFonts w:ascii="Times New Roman"/>
                <w:sz w:val="22"/>
              </w:rPr>
            </w:pPr>
          </w:p>
        </w:tc>
        <w:tc>
          <w:tcPr>
            <w:tcW w:w="1708" w:type="dxa"/>
          </w:tcPr>
          <w:p>
            <w:pPr>
              <w:pStyle w:val="TableParagraph"/>
              <w:rPr>
                <w:rFonts w:ascii="Times New Roman"/>
                <w:sz w:val="22"/>
              </w:rPr>
            </w:pPr>
          </w:p>
        </w:tc>
      </w:tr>
    </w:tbl>
    <w:p>
      <w:pPr>
        <w:pStyle w:val="BodyText"/>
        <w:spacing w:before="23"/>
      </w:pPr>
    </w:p>
    <w:p>
      <w:pPr>
        <w:pStyle w:val="BodyText"/>
        <w:ind w:left="720"/>
      </w:pPr>
      <w:r>
        <w:rPr>
          <w:color w:val="FF0000"/>
        </w:rPr>
        <w:t>შენიშვნა:</w:t>
      </w:r>
      <w:r>
        <w:rPr>
          <w:color w:val="FF0000"/>
          <w:spacing w:val="-16"/>
        </w:rPr>
        <w:t> </w:t>
      </w:r>
      <w:r>
        <w:rPr>
          <w:color w:val="FF0000"/>
        </w:rPr>
        <w:t>სხვადასხვა</w:t>
      </w:r>
      <w:r>
        <w:rPr>
          <w:color w:val="FF0000"/>
          <w:spacing w:val="-14"/>
        </w:rPr>
        <w:t> </w:t>
      </w:r>
      <w:r>
        <w:rPr>
          <w:color w:val="FF0000"/>
        </w:rPr>
        <w:t>სახის</w:t>
      </w:r>
      <w:r>
        <w:rPr>
          <w:color w:val="FF0000"/>
          <w:spacing w:val="-14"/>
        </w:rPr>
        <w:t> </w:t>
      </w:r>
      <w:r>
        <w:rPr>
          <w:color w:val="FF0000"/>
        </w:rPr>
        <w:t>ქონების</w:t>
      </w:r>
      <w:r>
        <w:rPr>
          <w:color w:val="FF0000"/>
          <w:spacing w:val="-13"/>
        </w:rPr>
        <w:t> </w:t>
      </w:r>
      <w:r>
        <w:rPr>
          <w:color w:val="FF0000"/>
        </w:rPr>
        <w:t>შეტანისას</w:t>
      </w:r>
      <w:r>
        <w:rPr>
          <w:color w:val="FF0000"/>
          <w:spacing w:val="-14"/>
        </w:rPr>
        <w:t> </w:t>
      </w:r>
      <w:r>
        <w:rPr>
          <w:color w:val="FF0000"/>
        </w:rPr>
        <w:t>დაამატეთ</w:t>
      </w:r>
      <w:r>
        <w:rPr>
          <w:color w:val="FF0000"/>
          <w:spacing w:val="-14"/>
        </w:rPr>
        <w:t> </w:t>
      </w:r>
      <w:r>
        <w:rPr>
          <w:color w:val="FF0000"/>
        </w:rPr>
        <w:t>გრაფები.</w:t>
      </w:r>
      <w:r>
        <w:rPr>
          <w:color w:val="FF0000"/>
          <w:spacing w:val="-14"/>
        </w:rPr>
        <w:t> </w:t>
      </w:r>
      <w:r>
        <w:rPr>
          <w:color w:val="FF0000"/>
        </w:rPr>
        <w:t>რა</w:t>
      </w:r>
      <w:r>
        <w:rPr>
          <w:color w:val="FF0000"/>
          <w:spacing w:val="-13"/>
        </w:rPr>
        <w:t> </w:t>
      </w:r>
      <w:r>
        <w:rPr>
          <w:color w:val="FF0000"/>
        </w:rPr>
        <w:t>სახის</w:t>
      </w:r>
      <w:r>
        <w:rPr>
          <w:color w:val="FF0000"/>
          <w:spacing w:val="-13"/>
        </w:rPr>
        <w:t> </w:t>
      </w:r>
      <w:r>
        <w:rPr>
          <w:color w:val="FF0000"/>
          <w:spacing w:val="-2"/>
        </w:rPr>
        <w:t>შენატანიც</w:t>
      </w:r>
    </w:p>
    <w:p>
      <w:pPr>
        <w:pStyle w:val="BodyText"/>
        <w:spacing w:before="23"/>
        <w:ind w:left="720"/>
      </w:pPr>
      <w:r>
        <w:rPr>
          <w:color w:val="FF0000"/>
        </w:rPr>
        <w:t>(ფულადი</w:t>
      </w:r>
      <w:r>
        <w:rPr>
          <w:color w:val="FF0000"/>
          <w:spacing w:val="-9"/>
        </w:rPr>
        <w:t> </w:t>
      </w:r>
      <w:r>
        <w:rPr>
          <w:color w:val="FF0000"/>
        </w:rPr>
        <w:t>ან</w:t>
      </w:r>
      <w:r>
        <w:rPr>
          <w:color w:val="FF0000"/>
          <w:spacing w:val="-8"/>
        </w:rPr>
        <w:t> </w:t>
      </w:r>
      <w:r>
        <w:rPr>
          <w:color w:val="FF0000"/>
        </w:rPr>
        <w:t>ქონებრივი)</w:t>
      </w:r>
      <w:r>
        <w:rPr>
          <w:color w:val="FF0000"/>
          <w:spacing w:val="-7"/>
        </w:rPr>
        <w:t> </w:t>
      </w:r>
      <w:r>
        <w:rPr>
          <w:color w:val="FF0000"/>
        </w:rPr>
        <w:t>ხორციელდება</w:t>
      </w:r>
      <w:r>
        <w:rPr>
          <w:color w:val="FF0000"/>
          <w:spacing w:val="-6"/>
        </w:rPr>
        <w:t> </w:t>
      </w:r>
      <w:r>
        <w:rPr>
          <w:color w:val="FF0000"/>
        </w:rPr>
        <w:t>ის</w:t>
      </w:r>
      <w:r>
        <w:rPr>
          <w:color w:val="FF0000"/>
          <w:spacing w:val="-5"/>
        </w:rPr>
        <w:t> </w:t>
      </w:r>
      <w:r>
        <w:rPr>
          <w:color w:val="FF0000"/>
        </w:rPr>
        <w:t>გრაფა</w:t>
      </w:r>
      <w:r>
        <w:rPr>
          <w:color w:val="FF0000"/>
          <w:spacing w:val="-6"/>
        </w:rPr>
        <w:t> </w:t>
      </w:r>
      <w:r>
        <w:rPr>
          <w:color w:val="FF0000"/>
          <w:spacing w:val="-2"/>
        </w:rPr>
        <w:t>დატოვეთ)</w:t>
      </w:r>
    </w:p>
    <w:p>
      <w:pPr>
        <w:pStyle w:val="ListParagraph"/>
        <w:numPr>
          <w:ilvl w:val="1"/>
          <w:numId w:val="1"/>
        </w:numPr>
        <w:tabs>
          <w:tab w:pos="359" w:val="left" w:leader="none"/>
          <w:tab w:pos="8401" w:val="left" w:leader="hyphen"/>
        </w:tabs>
        <w:spacing w:line="240" w:lineRule="auto" w:before="27" w:after="0"/>
        <w:ind w:left="359" w:right="0" w:hanging="359"/>
        <w:jc w:val="left"/>
        <w:rPr>
          <w:sz w:val="22"/>
          <w:szCs w:val="22"/>
        </w:rPr>
      </w:pPr>
      <w:r>
        <w:rPr>
          <w:sz w:val="22"/>
          <w:szCs w:val="22"/>
        </w:rPr>
        <w:t>ასოცირებული/</w:t>
      </w:r>
      <w:r>
        <w:rPr>
          <w:color w:val="FF0000"/>
          <w:sz w:val="22"/>
          <w:szCs w:val="22"/>
        </w:rPr>
        <w:t>ინვესტორი</w:t>
      </w:r>
      <w:r>
        <w:rPr>
          <w:color w:val="FF0000"/>
          <w:spacing w:val="-12"/>
          <w:sz w:val="22"/>
          <w:szCs w:val="22"/>
        </w:rPr>
        <w:t> </w:t>
      </w:r>
      <w:r>
        <w:rPr>
          <w:sz w:val="22"/>
          <w:szCs w:val="22"/>
        </w:rPr>
        <w:t>წევრის</w:t>
      </w:r>
      <w:r>
        <w:rPr>
          <w:spacing w:val="-9"/>
          <w:sz w:val="22"/>
          <w:szCs w:val="22"/>
        </w:rPr>
        <w:t> </w:t>
      </w:r>
      <w:r>
        <w:rPr>
          <w:sz w:val="22"/>
          <w:szCs w:val="22"/>
        </w:rPr>
        <w:t>შენატანის</w:t>
      </w:r>
      <w:r>
        <w:rPr>
          <w:spacing w:val="-8"/>
          <w:sz w:val="22"/>
          <w:szCs w:val="22"/>
        </w:rPr>
        <w:t> </w:t>
      </w:r>
      <w:r>
        <w:rPr>
          <w:sz w:val="22"/>
          <w:szCs w:val="22"/>
        </w:rPr>
        <w:t>ჯამური</w:t>
      </w:r>
      <w:r>
        <w:rPr>
          <w:spacing w:val="-11"/>
          <w:sz w:val="22"/>
          <w:szCs w:val="22"/>
        </w:rPr>
        <w:t> </w:t>
      </w:r>
      <w:r>
        <w:rPr>
          <w:sz w:val="22"/>
          <w:szCs w:val="22"/>
        </w:rPr>
        <w:t>ოდენობა</w:t>
      </w:r>
      <w:r>
        <w:rPr>
          <w:spacing w:val="-10"/>
          <w:sz w:val="22"/>
          <w:szCs w:val="22"/>
        </w:rPr>
        <w:t> </w:t>
      </w:r>
      <w:r>
        <w:rPr>
          <w:spacing w:val="-2"/>
          <w:sz w:val="22"/>
          <w:szCs w:val="22"/>
        </w:rPr>
        <w:t>შეადგენს</w:t>
      </w:r>
      <w:r>
        <w:rPr>
          <w:rFonts w:ascii="Times New Roman" w:hAnsi="Times New Roman" w:cs="Times New Roman" w:eastAsia="Times New Roman"/>
          <w:sz w:val="22"/>
          <w:szCs w:val="22"/>
        </w:rPr>
        <w:tab/>
      </w:r>
      <w:r>
        <w:rPr>
          <w:spacing w:val="-2"/>
          <w:sz w:val="22"/>
          <w:szCs w:val="22"/>
        </w:rPr>
        <w:t>ლარს;</w:t>
      </w:r>
    </w:p>
    <w:p>
      <w:pPr>
        <w:pStyle w:val="ListParagraph"/>
        <w:numPr>
          <w:ilvl w:val="1"/>
          <w:numId w:val="1"/>
        </w:numPr>
        <w:tabs>
          <w:tab w:pos="360" w:val="left" w:leader="none"/>
          <w:tab w:pos="3279" w:val="left" w:leader="none"/>
          <w:tab w:pos="4104" w:val="left" w:leader="none"/>
          <w:tab w:pos="5737" w:val="left" w:leader="none"/>
          <w:tab w:pos="8797" w:val="left" w:leader="hyphen"/>
        </w:tabs>
        <w:spacing w:line="256" w:lineRule="auto" w:before="18" w:after="0"/>
        <w:ind w:left="360" w:right="355" w:hanging="360"/>
        <w:jc w:val="left"/>
        <w:rPr>
          <w:sz w:val="22"/>
          <w:szCs w:val="22"/>
        </w:rPr>
      </w:pPr>
      <w:r>
        <w:rPr>
          <w:spacing w:val="-2"/>
          <w:sz w:val="22"/>
          <w:szCs w:val="22"/>
        </w:rPr>
        <w:t>ასოცირებული/ინვესტორი</w:t>
      </w:r>
      <w:r>
        <w:rPr>
          <w:sz w:val="22"/>
          <w:szCs w:val="22"/>
        </w:rPr>
        <w:tab/>
      </w:r>
      <w:r>
        <w:rPr>
          <w:spacing w:val="-4"/>
          <w:sz w:val="22"/>
          <w:szCs w:val="22"/>
        </w:rPr>
        <w:t>წევრი</w:t>
      </w:r>
      <w:r>
        <w:rPr>
          <w:sz w:val="22"/>
          <w:szCs w:val="22"/>
        </w:rPr>
        <w:tab/>
      </w:r>
      <w:r>
        <w:rPr>
          <w:spacing w:val="-2"/>
          <w:sz w:val="22"/>
          <w:szCs w:val="22"/>
        </w:rPr>
        <w:t>ვალდებულია</w:t>
      </w:r>
      <w:r>
        <w:rPr>
          <w:sz w:val="22"/>
          <w:szCs w:val="22"/>
        </w:rPr>
        <w:tab/>
        <w:t>ასოცირებული/</w:t>
      </w:r>
      <w:r>
        <w:rPr>
          <w:color w:val="FF0000"/>
          <w:sz w:val="22"/>
          <w:szCs w:val="22"/>
        </w:rPr>
        <w:t>ინვესტორი</w:t>
      </w:r>
      <w:r>
        <w:rPr>
          <w:color w:val="FF0000"/>
          <w:spacing w:val="80"/>
          <w:w w:val="150"/>
          <w:sz w:val="22"/>
          <w:szCs w:val="22"/>
        </w:rPr>
        <w:t> </w:t>
      </w:r>
      <w:r>
        <w:rPr>
          <w:sz w:val="22"/>
          <w:szCs w:val="22"/>
        </w:rPr>
        <w:t>წევრის შენატანი</w:t>
      </w:r>
      <w:r>
        <w:rPr>
          <w:spacing w:val="40"/>
          <w:sz w:val="22"/>
          <w:szCs w:val="22"/>
        </w:rPr>
        <w:t> </w:t>
      </w:r>
      <w:r>
        <w:rPr>
          <w:sz w:val="22"/>
          <w:szCs w:val="22"/>
        </w:rPr>
        <w:t>განახორციელოს</w:t>
      </w:r>
      <w:r>
        <w:rPr>
          <w:spacing w:val="40"/>
          <w:sz w:val="22"/>
          <w:szCs w:val="22"/>
        </w:rPr>
        <w:t> </w:t>
      </w:r>
      <w:r>
        <w:rPr>
          <w:sz w:val="22"/>
          <w:szCs w:val="22"/>
        </w:rPr>
        <w:t>წინამდებარე</w:t>
      </w:r>
      <w:r>
        <w:rPr>
          <w:spacing w:val="40"/>
          <w:sz w:val="22"/>
          <w:szCs w:val="22"/>
        </w:rPr>
        <w:t> </w:t>
      </w:r>
      <w:r>
        <w:rPr>
          <w:sz w:val="22"/>
          <w:szCs w:val="22"/>
        </w:rPr>
        <w:t>ხელშეკრულების</w:t>
      </w:r>
      <w:r>
        <w:rPr>
          <w:spacing w:val="40"/>
          <w:sz w:val="22"/>
          <w:szCs w:val="22"/>
        </w:rPr>
        <w:t> </w:t>
      </w:r>
      <w:r>
        <w:rPr>
          <w:sz w:val="22"/>
          <w:szCs w:val="22"/>
        </w:rPr>
        <w:t>გაფორმებიდან</w:t>
      </w:r>
      <w:r>
        <w:rPr>
          <w:rFonts w:ascii="Times New Roman" w:hAnsi="Times New Roman" w:cs="Times New Roman" w:eastAsia="Times New Roman"/>
          <w:sz w:val="22"/>
          <w:szCs w:val="22"/>
        </w:rPr>
        <w:tab/>
      </w:r>
      <w:r>
        <w:rPr>
          <w:spacing w:val="-4"/>
          <w:sz w:val="22"/>
          <w:szCs w:val="22"/>
        </w:rPr>
        <w:t>დღის</w:t>
      </w:r>
    </w:p>
    <w:p>
      <w:pPr>
        <w:pStyle w:val="BodyText"/>
        <w:spacing w:line="289" w:lineRule="exact"/>
        <w:ind w:left="360"/>
      </w:pPr>
      <w:r>
        <w:rPr>
          <w:spacing w:val="-2"/>
        </w:rPr>
        <w:t>ვადაში.</w:t>
      </w:r>
    </w:p>
    <w:p>
      <w:pPr>
        <w:pStyle w:val="ListParagraph"/>
        <w:numPr>
          <w:ilvl w:val="1"/>
          <w:numId w:val="1"/>
        </w:numPr>
        <w:tabs>
          <w:tab w:pos="360" w:val="left" w:leader="none"/>
        </w:tabs>
        <w:spacing w:line="276" w:lineRule="auto" w:before="20" w:after="0"/>
        <w:ind w:left="360" w:right="353" w:hanging="360"/>
        <w:jc w:val="both"/>
        <w:rPr>
          <w:sz w:val="24"/>
          <w:szCs w:val="24"/>
        </w:rPr>
      </w:pPr>
      <w:r>
        <w:rPr>
          <w:sz w:val="22"/>
          <w:szCs w:val="22"/>
        </w:rPr>
        <w:t>ასოცირებული/</w:t>
      </w:r>
      <w:r>
        <w:rPr>
          <w:color w:val="FF0000"/>
          <w:sz w:val="22"/>
          <w:szCs w:val="22"/>
        </w:rPr>
        <w:t>ინვესტორი</w:t>
      </w:r>
      <w:r>
        <w:rPr>
          <w:color w:val="FF0000"/>
          <w:spacing w:val="-14"/>
          <w:sz w:val="22"/>
          <w:szCs w:val="22"/>
        </w:rPr>
        <w:t> </w:t>
      </w:r>
      <w:r>
        <w:rPr>
          <w:sz w:val="22"/>
          <w:szCs w:val="22"/>
        </w:rPr>
        <w:t>წევრის</w:t>
      </w:r>
      <w:r>
        <w:rPr>
          <w:spacing w:val="-14"/>
          <w:sz w:val="22"/>
          <w:szCs w:val="22"/>
        </w:rPr>
        <w:t> </w:t>
      </w:r>
      <w:r>
        <w:rPr>
          <w:sz w:val="22"/>
          <w:szCs w:val="22"/>
        </w:rPr>
        <w:t>შენატანი</w:t>
      </w:r>
      <w:r>
        <w:rPr>
          <w:spacing w:val="-14"/>
          <w:sz w:val="22"/>
          <w:szCs w:val="22"/>
        </w:rPr>
        <w:t> </w:t>
      </w:r>
      <w:r>
        <w:rPr>
          <w:sz w:val="22"/>
          <w:szCs w:val="22"/>
        </w:rPr>
        <w:t>კოოპერატივში</w:t>
      </w:r>
      <w:r>
        <w:rPr>
          <w:spacing w:val="-13"/>
          <w:sz w:val="22"/>
          <w:szCs w:val="22"/>
        </w:rPr>
        <w:t> </w:t>
      </w:r>
      <w:r>
        <w:rPr>
          <w:sz w:val="22"/>
          <w:szCs w:val="22"/>
        </w:rPr>
        <w:t>შეტანილად</w:t>
      </w:r>
      <w:r>
        <w:rPr>
          <w:spacing w:val="-14"/>
          <w:sz w:val="22"/>
          <w:szCs w:val="22"/>
        </w:rPr>
        <w:t> </w:t>
      </w:r>
      <w:r>
        <w:rPr>
          <w:sz w:val="22"/>
          <w:szCs w:val="22"/>
        </w:rPr>
        <w:t>ითვლება</w:t>
      </w:r>
      <w:r>
        <w:rPr>
          <w:spacing w:val="-14"/>
          <w:sz w:val="22"/>
          <w:szCs w:val="22"/>
        </w:rPr>
        <w:t> </w:t>
      </w:r>
      <w:r>
        <w:rPr>
          <w:sz w:val="22"/>
          <w:szCs w:val="22"/>
        </w:rPr>
        <w:t>საერთო კრების მიერ განსაზღვრული თანხის კოოპერატივის ანგარიშზე შეტანის, ან/და ფულად ღირებულებაში</w:t>
      </w:r>
      <w:r>
        <w:rPr>
          <w:spacing w:val="-14"/>
          <w:sz w:val="22"/>
          <w:szCs w:val="22"/>
        </w:rPr>
        <w:t> </w:t>
      </w:r>
      <w:r>
        <w:rPr>
          <w:sz w:val="22"/>
          <w:szCs w:val="22"/>
        </w:rPr>
        <w:t>გამოხატული</w:t>
      </w:r>
      <w:r>
        <w:rPr>
          <w:spacing w:val="-14"/>
          <w:sz w:val="22"/>
          <w:szCs w:val="22"/>
        </w:rPr>
        <w:t> </w:t>
      </w:r>
      <w:r>
        <w:rPr>
          <w:sz w:val="22"/>
          <w:szCs w:val="22"/>
        </w:rPr>
        <w:t>ქონების</w:t>
      </w:r>
      <w:r>
        <w:rPr>
          <w:spacing w:val="-14"/>
          <w:sz w:val="22"/>
          <w:szCs w:val="22"/>
        </w:rPr>
        <w:t> </w:t>
      </w:r>
      <w:r>
        <w:rPr>
          <w:sz w:val="24"/>
          <w:szCs w:val="24"/>
        </w:rPr>
        <w:t>კოოპერატივის</w:t>
      </w:r>
      <w:r>
        <w:rPr>
          <w:spacing w:val="-15"/>
          <w:sz w:val="24"/>
          <w:szCs w:val="24"/>
        </w:rPr>
        <w:t> </w:t>
      </w:r>
      <w:r>
        <w:rPr>
          <w:sz w:val="24"/>
          <w:szCs w:val="24"/>
        </w:rPr>
        <w:t>საკუთრებაში</w:t>
      </w:r>
      <w:r>
        <w:rPr>
          <w:spacing w:val="-15"/>
          <w:sz w:val="24"/>
          <w:szCs w:val="24"/>
        </w:rPr>
        <w:t> </w:t>
      </w:r>
      <w:r>
        <w:rPr>
          <w:sz w:val="24"/>
          <w:szCs w:val="24"/>
        </w:rPr>
        <w:t>რეგისტრირაციის (ძროხის</w:t>
      </w:r>
      <w:r>
        <w:rPr>
          <w:spacing w:val="-3"/>
          <w:sz w:val="24"/>
          <w:szCs w:val="24"/>
        </w:rPr>
        <w:t> </w:t>
      </w:r>
      <w:r>
        <w:rPr>
          <w:sz w:val="24"/>
          <w:szCs w:val="24"/>
        </w:rPr>
        <w:t>შემთხვევაში სსიპ</w:t>
      </w:r>
      <w:r>
        <w:rPr>
          <w:spacing w:val="-1"/>
          <w:sz w:val="24"/>
          <w:szCs w:val="24"/>
        </w:rPr>
        <w:t> </w:t>
      </w:r>
      <w:r>
        <w:rPr>
          <w:sz w:val="24"/>
          <w:szCs w:val="24"/>
        </w:rPr>
        <w:t>„სურსათის</w:t>
      </w:r>
      <w:r>
        <w:rPr>
          <w:spacing w:val="-3"/>
          <w:sz w:val="24"/>
          <w:szCs w:val="24"/>
        </w:rPr>
        <w:t> </w:t>
      </w:r>
      <w:r>
        <w:rPr>
          <w:sz w:val="24"/>
          <w:szCs w:val="24"/>
        </w:rPr>
        <w:t>ეროვნული</w:t>
      </w:r>
      <w:r>
        <w:rPr>
          <w:spacing w:val="-1"/>
          <w:sz w:val="24"/>
          <w:szCs w:val="24"/>
        </w:rPr>
        <w:t> </w:t>
      </w:r>
      <w:r>
        <w:rPr>
          <w:sz w:val="24"/>
          <w:szCs w:val="24"/>
        </w:rPr>
        <w:t>სააგენტოს“</w:t>
      </w:r>
      <w:r>
        <w:rPr>
          <w:spacing w:val="-4"/>
          <w:sz w:val="24"/>
          <w:szCs w:val="24"/>
        </w:rPr>
        <w:t> </w:t>
      </w:r>
      <w:r>
        <w:rPr>
          <w:sz w:val="24"/>
          <w:szCs w:val="24"/>
        </w:rPr>
        <w:t>მიერ</w:t>
      </w:r>
      <w:r>
        <w:rPr>
          <w:spacing w:val="-4"/>
          <w:sz w:val="24"/>
          <w:szCs w:val="24"/>
        </w:rPr>
        <w:t> </w:t>
      </w:r>
      <w:r>
        <w:rPr>
          <w:sz w:val="24"/>
          <w:szCs w:val="24"/>
        </w:rPr>
        <w:t>რეგისტრაცია, მიწის და/ან შენობის შემთხვევაში სსიპ საჯარო რეესტრის ეროვნულ სააგენტოში</w:t>
      </w:r>
    </w:p>
    <w:p>
      <w:pPr>
        <w:pStyle w:val="ListParagraph"/>
        <w:spacing w:after="0" w:line="276" w:lineRule="auto"/>
        <w:jc w:val="both"/>
        <w:rPr>
          <w:sz w:val="24"/>
          <w:szCs w:val="24"/>
        </w:rPr>
        <w:sectPr>
          <w:type w:val="continuous"/>
          <w:pgSz w:w="12240" w:h="15840"/>
          <w:pgMar w:top="1420" w:bottom="280" w:left="1440" w:right="1080"/>
        </w:sectPr>
      </w:pPr>
    </w:p>
    <w:p>
      <w:pPr>
        <w:spacing w:line="276" w:lineRule="auto" w:before="21"/>
        <w:ind w:left="360" w:right="355" w:firstLine="0"/>
        <w:jc w:val="both"/>
        <w:rPr>
          <w:sz w:val="24"/>
          <w:szCs w:val="24"/>
        </w:rPr>
      </w:pPr>
      <w:r>
        <w:rPr>
          <w:sz w:val="24"/>
          <w:szCs w:val="24"/>
        </w:rPr>
        <w:t>მისი რეგისტრაცია, ხოლო მოძრავი ქონების ტექნიკა, ავტომანქანა და ა.შ შსს მომსახურების სააგენტოში რეგისტრაცია) შემდეგ;</w:t>
      </w:r>
    </w:p>
    <w:p>
      <w:pPr>
        <w:pStyle w:val="ListParagraph"/>
        <w:numPr>
          <w:ilvl w:val="1"/>
          <w:numId w:val="1"/>
        </w:numPr>
        <w:tabs>
          <w:tab w:pos="360" w:val="left" w:leader="none"/>
        </w:tabs>
        <w:spacing w:line="256" w:lineRule="auto" w:before="1" w:after="0"/>
        <w:ind w:left="360" w:right="354" w:hanging="360"/>
        <w:jc w:val="both"/>
        <w:rPr>
          <w:sz w:val="22"/>
          <w:szCs w:val="22"/>
        </w:rPr>
      </w:pPr>
      <w:r>
        <w:rPr>
          <w:sz w:val="22"/>
          <w:szCs w:val="22"/>
        </w:rPr>
        <w:t>ასოცირებული/</w:t>
      </w:r>
      <w:r>
        <w:rPr>
          <w:color w:val="FF0000"/>
          <w:sz w:val="22"/>
          <w:szCs w:val="22"/>
        </w:rPr>
        <w:t>ინვესტორი </w:t>
      </w:r>
      <w:r>
        <w:rPr>
          <w:sz w:val="22"/>
          <w:szCs w:val="22"/>
        </w:rPr>
        <w:t>წევრის კოოპერატივში შეტანილი ქონების ღირებულების შეფასება ხდება ურთიერთ შეთანხმებით. მხარეთა შეთანხმებით შესაძლებელია ასევე შესაბამისი</w:t>
      </w:r>
      <w:r>
        <w:rPr>
          <w:spacing w:val="-14"/>
          <w:sz w:val="22"/>
          <w:szCs w:val="22"/>
        </w:rPr>
        <w:t> </w:t>
      </w:r>
      <w:r>
        <w:rPr>
          <w:sz w:val="22"/>
          <w:szCs w:val="22"/>
        </w:rPr>
        <w:t>სპეციალისტის</w:t>
      </w:r>
      <w:r>
        <w:rPr>
          <w:spacing w:val="-14"/>
          <w:sz w:val="22"/>
          <w:szCs w:val="22"/>
        </w:rPr>
        <w:t> </w:t>
      </w:r>
      <w:r>
        <w:rPr>
          <w:sz w:val="22"/>
          <w:szCs w:val="22"/>
        </w:rPr>
        <w:t>-</w:t>
      </w:r>
      <w:r>
        <w:rPr>
          <w:spacing w:val="-14"/>
          <w:sz w:val="22"/>
          <w:szCs w:val="22"/>
        </w:rPr>
        <w:t> </w:t>
      </w:r>
      <w:r>
        <w:rPr>
          <w:sz w:val="22"/>
          <w:szCs w:val="22"/>
        </w:rPr>
        <w:t>ექსპერტის</w:t>
      </w:r>
      <w:r>
        <w:rPr>
          <w:spacing w:val="-13"/>
          <w:sz w:val="22"/>
          <w:szCs w:val="22"/>
        </w:rPr>
        <w:t> </w:t>
      </w:r>
      <w:r>
        <w:rPr>
          <w:sz w:val="22"/>
          <w:szCs w:val="22"/>
        </w:rPr>
        <w:t>(აკრედიტებული</w:t>
      </w:r>
      <w:r>
        <w:rPr>
          <w:spacing w:val="-14"/>
          <w:sz w:val="22"/>
          <w:szCs w:val="22"/>
        </w:rPr>
        <w:t> </w:t>
      </w:r>
      <w:r>
        <w:rPr>
          <w:sz w:val="22"/>
          <w:szCs w:val="22"/>
        </w:rPr>
        <w:t>აუდიტორის)</w:t>
      </w:r>
      <w:r>
        <w:rPr>
          <w:spacing w:val="-14"/>
          <w:sz w:val="22"/>
          <w:szCs w:val="22"/>
        </w:rPr>
        <w:t> </w:t>
      </w:r>
      <w:r>
        <w:rPr>
          <w:sz w:val="22"/>
          <w:szCs w:val="22"/>
        </w:rPr>
        <w:t>მიერ.</w:t>
      </w:r>
      <w:r>
        <w:rPr>
          <w:spacing w:val="-14"/>
          <w:sz w:val="22"/>
          <w:szCs w:val="22"/>
        </w:rPr>
        <w:t> </w:t>
      </w:r>
      <w:r>
        <w:rPr>
          <w:sz w:val="22"/>
          <w:szCs w:val="22"/>
        </w:rPr>
        <w:t>ექსპერტიზის ხარჯები ეკისრებათ მხარეებს თანაბრად. ექსპერტის შერჩევა შესაძლებელია როგორც ასოცირებული წევრის, ასევე კოოპერატივის მიერ.</w:t>
      </w:r>
    </w:p>
    <w:p>
      <w:pPr>
        <w:pStyle w:val="BodyText"/>
      </w:pPr>
    </w:p>
    <w:p>
      <w:pPr>
        <w:pStyle w:val="BodyText"/>
        <w:spacing w:before="40"/>
      </w:pPr>
    </w:p>
    <w:p>
      <w:pPr>
        <w:pStyle w:val="ListParagraph"/>
        <w:numPr>
          <w:ilvl w:val="0"/>
          <w:numId w:val="1"/>
        </w:numPr>
        <w:tabs>
          <w:tab w:pos="1350" w:val="left" w:leader="none"/>
          <w:tab w:pos="2989" w:val="left" w:leader="none"/>
        </w:tabs>
        <w:spacing w:line="256" w:lineRule="auto" w:before="0" w:after="0"/>
        <w:ind w:left="2989" w:right="991" w:hanging="1998"/>
        <w:jc w:val="left"/>
        <w:rPr>
          <w:sz w:val="22"/>
          <w:szCs w:val="22"/>
        </w:rPr>
      </w:pPr>
      <w:r>
        <w:rPr>
          <w:sz w:val="22"/>
          <w:szCs w:val="22"/>
        </w:rPr>
        <w:t>ასოცირებული/</w:t>
      </w:r>
      <w:r>
        <w:rPr>
          <w:color w:val="FF0000"/>
          <w:sz w:val="22"/>
          <w:szCs w:val="22"/>
        </w:rPr>
        <w:t>ინვესტორი</w:t>
      </w:r>
      <w:r>
        <w:rPr>
          <w:color w:val="FF0000"/>
          <w:spacing w:val="-8"/>
          <w:sz w:val="22"/>
          <w:szCs w:val="22"/>
        </w:rPr>
        <w:t> </w:t>
      </w:r>
      <w:r>
        <w:rPr>
          <w:sz w:val="22"/>
          <w:szCs w:val="22"/>
        </w:rPr>
        <w:t>წევრის</w:t>
      </w:r>
      <w:r>
        <w:rPr>
          <w:spacing w:val="-7"/>
          <w:sz w:val="22"/>
          <w:szCs w:val="22"/>
        </w:rPr>
        <w:t> </w:t>
      </w:r>
      <w:r>
        <w:rPr>
          <w:sz w:val="22"/>
          <w:szCs w:val="22"/>
        </w:rPr>
        <w:t>შენატანის</w:t>
      </w:r>
      <w:r>
        <w:rPr>
          <w:spacing w:val="-8"/>
          <w:sz w:val="22"/>
          <w:szCs w:val="22"/>
        </w:rPr>
        <w:t> </w:t>
      </w:r>
      <w:r>
        <w:rPr>
          <w:sz w:val="22"/>
          <w:szCs w:val="22"/>
        </w:rPr>
        <w:t>სახით</w:t>
      </w:r>
      <w:r>
        <w:rPr>
          <w:spacing w:val="-7"/>
          <w:sz w:val="22"/>
          <w:szCs w:val="22"/>
        </w:rPr>
        <w:t> </w:t>
      </w:r>
      <w:r>
        <w:rPr>
          <w:sz w:val="22"/>
          <w:szCs w:val="22"/>
        </w:rPr>
        <w:t>კოოპერატივისათვის გადაცემული ქონების დატვირთვის წესი</w:t>
      </w:r>
    </w:p>
    <w:p>
      <w:pPr>
        <w:pStyle w:val="BodyText"/>
        <w:spacing w:before="20"/>
      </w:pPr>
    </w:p>
    <w:p>
      <w:pPr>
        <w:pStyle w:val="ListParagraph"/>
        <w:numPr>
          <w:ilvl w:val="1"/>
          <w:numId w:val="1"/>
        </w:numPr>
        <w:tabs>
          <w:tab w:pos="360" w:val="left" w:leader="none"/>
        </w:tabs>
        <w:spacing w:line="254" w:lineRule="auto" w:before="0" w:after="0"/>
        <w:ind w:left="360" w:right="353" w:hanging="360"/>
        <w:jc w:val="both"/>
        <w:rPr>
          <w:sz w:val="22"/>
          <w:szCs w:val="22"/>
        </w:rPr>
      </w:pPr>
      <w:r>
        <w:rPr>
          <w:sz w:val="22"/>
          <w:szCs w:val="22"/>
        </w:rPr>
        <w:t>კოოპერატივის საჭიროების შემთხვევაში ასოცირებული/</w:t>
      </w:r>
      <w:r>
        <w:rPr>
          <w:color w:val="FF0000"/>
          <w:sz w:val="22"/>
          <w:szCs w:val="22"/>
        </w:rPr>
        <w:t>ინვესტორი </w:t>
      </w:r>
      <w:r>
        <w:rPr>
          <w:sz w:val="22"/>
          <w:szCs w:val="22"/>
        </w:rPr>
        <w:t>წევრის შენატანის სახით კოოპერატივისათვის გადაცემული ქონების დატვირთვის შესახებ გადაწყვეტილებას იღებს საერთო კრება ხმათა უბრალო უმრავლესობით.</w:t>
      </w:r>
    </w:p>
    <w:p>
      <w:pPr>
        <w:pStyle w:val="ListParagraph"/>
        <w:numPr>
          <w:ilvl w:val="1"/>
          <w:numId w:val="1"/>
        </w:numPr>
        <w:tabs>
          <w:tab w:pos="360" w:val="left" w:leader="none"/>
        </w:tabs>
        <w:spacing w:line="254" w:lineRule="auto" w:before="5" w:after="0"/>
        <w:ind w:left="360" w:right="353" w:hanging="360"/>
        <w:jc w:val="both"/>
        <w:rPr>
          <w:sz w:val="22"/>
          <w:szCs w:val="22"/>
        </w:rPr>
      </w:pPr>
      <w:r>
        <w:rPr>
          <w:sz w:val="22"/>
          <w:szCs w:val="22"/>
        </w:rPr>
        <w:t>ასოცირებული/</w:t>
      </w:r>
      <w:r>
        <w:rPr>
          <w:color w:val="FF0000"/>
          <w:sz w:val="22"/>
          <w:szCs w:val="22"/>
        </w:rPr>
        <w:t>ინვესტორი </w:t>
      </w:r>
      <w:r>
        <w:rPr>
          <w:sz w:val="22"/>
          <w:szCs w:val="22"/>
        </w:rPr>
        <w:t>წევრის შენატანის სახით კოოპერატივისათვის გადაცემული ქონების დატვირთვა შესაძლებელია მხოლოდ მისი შემტანი ასოცირებული წევრის წერილობითი თანხმობის საფუძველზე.</w:t>
      </w:r>
    </w:p>
    <w:p>
      <w:pPr>
        <w:pStyle w:val="BodyText"/>
      </w:pPr>
    </w:p>
    <w:p>
      <w:pPr>
        <w:pStyle w:val="BodyText"/>
        <w:spacing w:before="52"/>
      </w:pPr>
    </w:p>
    <w:p>
      <w:pPr>
        <w:pStyle w:val="ListParagraph"/>
        <w:numPr>
          <w:ilvl w:val="0"/>
          <w:numId w:val="1"/>
        </w:numPr>
        <w:tabs>
          <w:tab w:pos="3691" w:val="left" w:leader="none"/>
        </w:tabs>
        <w:spacing w:line="240" w:lineRule="auto" w:before="0" w:after="0"/>
        <w:ind w:left="3691" w:right="0" w:hanging="359"/>
        <w:jc w:val="left"/>
        <w:rPr>
          <w:sz w:val="22"/>
          <w:szCs w:val="22"/>
        </w:rPr>
      </w:pPr>
      <w:r>
        <w:rPr>
          <w:sz w:val="22"/>
          <w:szCs w:val="22"/>
        </w:rPr>
        <w:t>დივიდენდის</w:t>
      </w:r>
      <w:r>
        <w:rPr>
          <w:spacing w:val="-8"/>
          <w:sz w:val="22"/>
          <w:szCs w:val="22"/>
        </w:rPr>
        <w:t> </w:t>
      </w:r>
      <w:r>
        <w:rPr>
          <w:sz w:val="22"/>
          <w:szCs w:val="22"/>
        </w:rPr>
        <w:t>გაცემის</w:t>
      </w:r>
      <w:r>
        <w:rPr>
          <w:spacing w:val="-5"/>
          <w:sz w:val="22"/>
          <w:szCs w:val="22"/>
        </w:rPr>
        <w:t> </w:t>
      </w:r>
      <w:r>
        <w:rPr>
          <w:spacing w:val="-4"/>
          <w:sz w:val="22"/>
          <w:szCs w:val="22"/>
        </w:rPr>
        <w:t>წესი</w:t>
      </w:r>
    </w:p>
    <w:p>
      <w:pPr>
        <w:pStyle w:val="BodyText"/>
        <w:spacing w:before="38"/>
      </w:pPr>
    </w:p>
    <w:p>
      <w:pPr>
        <w:pStyle w:val="ListParagraph"/>
        <w:numPr>
          <w:ilvl w:val="1"/>
          <w:numId w:val="1"/>
        </w:numPr>
        <w:tabs>
          <w:tab w:pos="360" w:val="left" w:leader="none"/>
        </w:tabs>
        <w:spacing w:line="256" w:lineRule="auto" w:before="0" w:after="0"/>
        <w:ind w:left="360" w:right="354" w:hanging="360"/>
        <w:jc w:val="both"/>
        <w:rPr>
          <w:sz w:val="22"/>
          <w:szCs w:val="22"/>
        </w:rPr>
      </w:pPr>
      <w:r>
        <w:rPr>
          <w:sz w:val="22"/>
          <w:szCs w:val="22"/>
        </w:rPr>
        <w:t>ასოცირებულ/</w:t>
      </w:r>
      <w:r>
        <w:rPr>
          <w:color w:val="FF0000"/>
          <w:sz w:val="22"/>
          <w:szCs w:val="22"/>
        </w:rPr>
        <w:t>ინვესტორ </w:t>
      </w:r>
      <w:r>
        <w:rPr>
          <w:sz w:val="22"/>
          <w:szCs w:val="22"/>
        </w:rPr>
        <w:t>წევრზე დივიდენდის გაცემა ხდება</w:t>
      </w:r>
      <w:r>
        <w:rPr>
          <w:spacing w:val="40"/>
          <w:sz w:val="22"/>
          <w:szCs w:val="22"/>
        </w:rPr>
        <w:t> </w:t>
      </w:r>
      <w:r>
        <w:rPr>
          <w:sz w:val="22"/>
          <w:szCs w:val="22"/>
        </w:rPr>
        <w:t>„სასოფლო-სამეურნეო კოოპერატივის შესახებ“ საქართველოს კანონით და კოოპერატივის საერთო კრების მიერ დადგენილი წესით;</w:t>
      </w:r>
    </w:p>
    <w:p>
      <w:pPr>
        <w:pStyle w:val="ListParagraph"/>
        <w:numPr>
          <w:ilvl w:val="1"/>
          <w:numId w:val="1"/>
        </w:numPr>
        <w:tabs>
          <w:tab w:pos="360" w:val="left" w:leader="none"/>
        </w:tabs>
        <w:spacing w:line="256" w:lineRule="auto" w:before="0" w:after="0"/>
        <w:ind w:left="360" w:right="354" w:hanging="360"/>
        <w:jc w:val="both"/>
        <w:rPr>
          <w:sz w:val="22"/>
          <w:szCs w:val="22"/>
        </w:rPr>
      </w:pPr>
      <w:r>
        <w:rPr>
          <w:sz w:val="22"/>
          <w:szCs w:val="22"/>
        </w:rPr>
        <w:t>ასოცირებულ/</w:t>
      </w:r>
      <w:r>
        <w:rPr>
          <w:color w:val="FF0000"/>
          <w:sz w:val="22"/>
          <w:szCs w:val="22"/>
        </w:rPr>
        <w:t>ინვესტორ </w:t>
      </w:r>
      <w:r>
        <w:rPr>
          <w:sz w:val="22"/>
          <w:szCs w:val="22"/>
        </w:rPr>
        <w:t>წევრთა შენატანებზე და</w:t>
      </w:r>
      <w:r>
        <w:rPr>
          <w:spacing w:val="40"/>
          <w:sz w:val="22"/>
          <w:szCs w:val="22"/>
        </w:rPr>
        <w:t> </w:t>
      </w:r>
      <w:r>
        <w:rPr>
          <w:sz w:val="22"/>
          <w:szCs w:val="22"/>
        </w:rPr>
        <w:t>მეპაიეთა დამატებით შენატანებზე სასოფლო-სამეურნეო</w:t>
      </w:r>
      <w:r>
        <w:rPr>
          <w:spacing w:val="-7"/>
          <w:sz w:val="22"/>
          <w:szCs w:val="22"/>
        </w:rPr>
        <w:t> </w:t>
      </w:r>
      <w:r>
        <w:rPr>
          <w:sz w:val="22"/>
          <w:szCs w:val="22"/>
        </w:rPr>
        <w:t>კოოპერატივის</w:t>
      </w:r>
      <w:r>
        <w:rPr>
          <w:spacing w:val="-7"/>
          <w:sz w:val="22"/>
          <w:szCs w:val="22"/>
        </w:rPr>
        <w:t> </w:t>
      </w:r>
      <w:r>
        <w:rPr>
          <w:sz w:val="22"/>
          <w:szCs w:val="22"/>
        </w:rPr>
        <w:t>მოგების</w:t>
      </w:r>
      <w:r>
        <w:rPr>
          <w:spacing w:val="-7"/>
          <w:sz w:val="22"/>
          <w:szCs w:val="22"/>
        </w:rPr>
        <w:t> </w:t>
      </w:r>
      <w:r>
        <w:rPr>
          <w:sz w:val="22"/>
          <w:szCs w:val="22"/>
        </w:rPr>
        <w:t>პროპორციულად</w:t>
      </w:r>
      <w:r>
        <w:rPr>
          <w:spacing w:val="40"/>
          <w:sz w:val="22"/>
          <w:szCs w:val="22"/>
        </w:rPr>
        <w:t> </w:t>
      </w:r>
      <w:r>
        <w:rPr>
          <w:sz w:val="22"/>
          <w:szCs w:val="22"/>
        </w:rPr>
        <w:t>გასაცემი</w:t>
      </w:r>
      <w:r>
        <w:rPr>
          <w:spacing w:val="-6"/>
          <w:sz w:val="22"/>
          <w:szCs w:val="22"/>
        </w:rPr>
        <w:t> </w:t>
      </w:r>
      <w:r>
        <w:rPr>
          <w:sz w:val="22"/>
          <w:szCs w:val="22"/>
        </w:rPr>
        <w:t>დივიდენდების საერთო ოდენობა არ უნდა აღემატებოდეს სასოფლო-სამეურნეო კოოპერატივის წმინდა მოგების 50%-ს.</w:t>
      </w:r>
    </w:p>
    <w:p>
      <w:pPr>
        <w:pStyle w:val="ListParagraph"/>
        <w:numPr>
          <w:ilvl w:val="1"/>
          <w:numId w:val="1"/>
        </w:numPr>
        <w:tabs>
          <w:tab w:pos="360" w:val="left" w:leader="none"/>
        </w:tabs>
        <w:spacing w:line="254" w:lineRule="auto" w:before="0" w:after="0"/>
        <w:ind w:left="360" w:right="353" w:hanging="360"/>
        <w:jc w:val="both"/>
        <w:rPr>
          <w:sz w:val="22"/>
          <w:szCs w:val="22"/>
        </w:rPr>
      </w:pPr>
      <w:r>
        <w:rPr>
          <w:sz w:val="22"/>
          <w:szCs w:val="22"/>
        </w:rPr>
        <w:t>კოოპერატივის წმინდა მოგებიდან დივიდენდი პირველ რიგში გაიცემა ასოცირებულ/</w:t>
      </w:r>
      <w:r>
        <w:rPr>
          <w:color w:val="FF0000"/>
          <w:sz w:val="22"/>
          <w:szCs w:val="22"/>
        </w:rPr>
        <w:t>ინვესტორ </w:t>
      </w:r>
      <w:r>
        <w:rPr>
          <w:sz w:val="22"/>
          <w:szCs w:val="22"/>
        </w:rPr>
        <w:t>წევრებზე;</w:t>
      </w:r>
    </w:p>
    <w:p>
      <w:pPr>
        <w:pStyle w:val="ListParagraph"/>
        <w:numPr>
          <w:ilvl w:val="1"/>
          <w:numId w:val="1"/>
        </w:numPr>
        <w:tabs>
          <w:tab w:pos="360" w:val="left" w:leader="none"/>
        </w:tabs>
        <w:spacing w:line="252" w:lineRule="auto" w:before="0" w:after="0"/>
        <w:ind w:left="360" w:right="354" w:hanging="360"/>
        <w:jc w:val="both"/>
        <w:rPr>
          <w:sz w:val="22"/>
          <w:szCs w:val="22"/>
        </w:rPr>
      </w:pPr>
      <w:r>
        <w:rPr>
          <w:color w:val="001F5F"/>
          <w:sz w:val="22"/>
          <w:szCs w:val="22"/>
        </w:rPr>
        <w:t>ასოცირებულ/</w:t>
      </w:r>
      <w:r>
        <w:rPr>
          <w:color w:val="FF0000"/>
          <w:sz w:val="22"/>
          <w:szCs w:val="22"/>
        </w:rPr>
        <w:t>ინვესტორ </w:t>
      </w:r>
      <w:r>
        <w:rPr>
          <w:color w:val="001F5F"/>
          <w:sz w:val="22"/>
          <w:szCs w:val="22"/>
        </w:rPr>
        <w:t>წევრზე დივიდენდი გაიცემა კოოპერატივის წმინდა მოგებიდან და შეადგენს კოოპერატივის წმინდა მოგების ----%-ს </w:t>
      </w:r>
      <w:r>
        <w:rPr>
          <w:color w:val="FF0000"/>
          <w:sz w:val="22"/>
          <w:szCs w:val="22"/>
        </w:rPr>
        <w:t>(არ უნდა აღემატებოდეს კოოპერატივის წმინდა მოგების 50%-ს) </w:t>
      </w:r>
      <w:r>
        <w:rPr>
          <w:rFonts w:ascii="Segoe UI Symbol" w:hAnsi="Segoe UI Symbol" w:cs="Segoe UI Symbol" w:eastAsia="Segoe UI Symbol"/>
          <w:w w:val="90"/>
          <w:sz w:val="22"/>
          <w:szCs w:val="22"/>
        </w:rPr>
        <w:t>ან </w:t>
      </w:r>
      <w:r>
        <w:rPr>
          <w:color w:val="00AF50"/>
          <w:sz w:val="22"/>
          <w:szCs w:val="22"/>
        </w:rPr>
        <w:t>ასოცირებულ/</w:t>
      </w:r>
      <w:r>
        <w:rPr>
          <w:color w:val="FF0000"/>
          <w:sz w:val="22"/>
          <w:szCs w:val="22"/>
        </w:rPr>
        <w:t>ინვესტორ </w:t>
      </w:r>
      <w:r>
        <w:rPr>
          <w:color w:val="00AF50"/>
          <w:sz w:val="22"/>
          <w:szCs w:val="22"/>
        </w:rPr>
        <w:t>წევრზე დივიდენდი გაიცემა მისი შენატანის პროპორციულად და</w:t>
      </w:r>
      <w:r>
        <w:rPr>
          <w:color w:val="00AF50"/>
          <w:spacing w:val="40"/>
          <w:sz w:val="22"/>
          <w:szCs w:val="22"/>
        </w:rPr>
        <w:t> </w:t>
      </w:r>
      <w:r>
        <w:rPr>
          <w:color w:val="00AF50"/>
          <w:sz w:val="22"/>
          <w:szCs w:val="22"/>
        </w:rPr>
        <w:t>შეადგენს მისი შენატანის ღირებულების ---</w:t>
      </w:r>
    </w:p>
    <w:p>
      <w:pPr>
        <w:pStyle w:val="BodyText"/>
        <w:spacing w:line="256" w:lineRule="auto" w:before="1"/>
        <w:ind w:left="360" w:right="358"/>
        <w:jc w:val="both"/>
      </w:pPr>
      <w:r>
        <w:rPr>
          <w:color w:val="00AF50"/>
        </w:rPr>
        <w:t>--%-ს </w:t>
      </w:r>
      <w:r>
        <w:rPr>
          <w:color w:val="FF0000"/>
        </w:rPr>
        <w:t>(არ უნდა აღემატებოდეს ამ ასოცირებული/ინვესტორი წევრის შენატანის ღირებულების 15%-ს ერთი სამეურნეო წლის განმავლობაში)</w:t>
      </w:r>
    </w:p>
    <w:p>
      <w:pPr>
        <w:pStyle w:val="BodyText"/>
        <w:spacing w:before="17"/>
      </w:pPr>
    </w:p>
    <w:p>
      <w:pPr>
        <w:pStyle w:val="BodyText"/>
        <w:spacing w:line="256" w:lineRule="auto"/>
        <w:ind w:left="360" w:right="354"/>
        <w:jc w:val="both"/>
      </w:pPr>
      <w:r>
        <w:rPr>
          <w:color w:val="FF0000"/>
        </w:rPr>
        <w:t>შენიშვნა: წინამდებარე ხელშეკრულების 3.4. პუნქტში ჩაიწერება ამ ორი პირობათაგან მხოლოდ ერთი (ან ლურჯი ჩანაწერი ან მწვანე),</w:t>
      </w:r>
      <w:r>
        <w:rPr>
          <w:color w:val="FF0000"/>
          <w:spacing w:val="40"/>
        </w:rPr>
        <w:t> </w:t>
      </w:r>
      <w:r>
        <w:rPr>
          <w:color w:val="FF0000"/>
        </w:rPr>
        <w:t>საერთო კრების მიერ მიღებულ გადაწყვეტილების შესაბამისად.</w:t>
      </w:r>
    </w:p>
    <w:p>
      <w:pPr>
        <w:pStyle w:val="BodyText"/>
        <w:spacing w:after="0" w:line="256" w:lineRule="auto"/>
        <w:jc w:val="both"/>
        <w:sectPr>
          <w:pgSz w:w="12240" w:h="15840"/>
          <w:pgMar w:top="1420" w:bottom="280" w:left="1440" w:right="1080"/>
        </w:sectPr>
      </w:pPr>
    </w:p>
    <w:p>
      <w:pPr>
        <w:pStyle w:val="BodyText"/>
        <w:spacing w:line="256" w:lineRule="auto" w:before="11"/>
        <w:ind w:left="360" w:right="353"/>
        <w:jc w:val="both"/>
      </w:pPr>
      <w:r>
        <w:rPr>
          <w:color w:val="FF0000"/>
        </w:rPr>
        <w:t>იმ შემთხვევაში. როდესაც კოოპერატივებს არც სადამფუძნებლო და არც სხვა საერთო კრებით აღნიშნული</w:t>
      </w:r>
      <w:r>
        <w:rPr>
          <w:color w:val="FF0000"/>
          <w:spacing w:val="-3"/>
        </w:rPr>
        <w:t> </w:t>
      </w:r>
      <w:r>
        <w:rPr>
          <w:color w:val="FF0000"/>
        </w:rPr>
        <w:t>ერთ-ერთი</w:t>
      </w:r>
      <w:r>
        <w:rPr>
          <w:color w:val="FF0000"/>
          <w:spacing w:val="-1"/>
        </w:rPr>
        <w:t> </w:t>
      </w:r>
      <w:r>
        <w:rPr>
          <w:color w:val="FF0000"/>
        </w:rPr>
        <w:t>წესი</w:t>
      </w:r>
      <w:r>
        <w:rPr>
          <w:color w:val="FF0000"/>
          <w:spacing w:val="40"/>
        </w:rPr>
        <w:t> </w:t>
      </w:r>
      <w:r>
        <w:rPr>
          <w:color w:val="FF0000"/>
        </w:rPr>
        <w:t>და</w:t>
      </w:r>
      <w:r>
        <w:rPr>
          <w:color w:val="FF0000"/>
          <w:spacing w:val="-3"/>
        </w:rPr>
        <w:t> </w:t>
      </w:r>
      <w:r>
        <w:rPr>
          <w:color w:val="FF0000"/>
        </w:rPr>
        <w:t>დივიდენდის ოდენობა</w:t>
      </w:r>
      <w:r>
        <w:rPr>
          <w:color w:val="FF0000"/>
          <w:spacing w:val="-1"/>
        </w:rPr>
        <w:t> </w:t>
      </w:r>
      <w:r>
        <w:rPr>
          <w:color w:val="FF0000"/>
        </w:rPr>
        <w:t>განსაზღვრული</w:t>
      </w:r>
      <w:r>
        <w:rPr>
          <w:color w:val="FF0000"/>
          <w:spacing w:val="-3"/>
        </w:rPr>
        <w:t> </w:t>
      </w:r>
      <w:r>
        <w:rPr>
          <w:color w:val="FF0000"/>
        </w:rPr>
        <w:t>არ აქვთ, შეთანხმების გაფორმებამდე უნდა მოიწვიონ საერთო კრება და განსაზღვრონ ერთ-ერთი წესი (ლურჯი ან მწვანე ჩანაწერი), და გასაცემი დივიდენდის ოდენობა.</w:t>
      </w:r>
    </w:p>
    <w:p>
      <w:pPr>
        <w:pStyle w:val="BodyText"/>
        <w:spacing w:before="16"/>
      </w:pPr>
    </w:p>
    <w:p>
      <w:pPr>
        <w:pStyle w:val="BodyText"/>
        <w:spacing w:line="252" w:lineRule="auto"/>
        <w:ind w:left="360" w:right="352"/>
        <w:jc w:val="both"/>
      </w:pPr>
      <w:r>
        <w:rPr>
          <w:color w:val="FF0000"/>
        </w:rPr>
        <w:t>შენიშვნა 2: წითელი ჩანაწერები არის განმარტებები სახელმძღვანელოდ</w:t>
      </w:r>
      <w:r>
        <w:rPr>
          <w:color w:val="FF0000"/>
          <w:spacing w:val="40"/>
        </w:rPr>
        <w:t> </w:t>
      </w:r>
      <w:r>
        <w:rPr>
          <w:color w:val="FF0000"/>
        </w:rPr>
        <w:t>და ხელშეკრულების გაფორმებისას ტექსტში არ ჩატოვოთ.</w:t>
      </w:r>
    </w:p>
    <w:p>
      <w:pPr>
        <w:pStyle w:val="BodyText"/>
      </w:pPr>
    </w:p>
    <w:p>
      <w:pPr>
        <w:pStyle w:val="BodyText"/>
        <w:spacing w:before="82"/>
      </w:pPr>
    </w:p>
    <w:p>
      <w:pPr>
        <w:pStyle w:val="ListParagraph"/>
        <w:numPr>
          <w:ilvl w:val="0"/>
          <w:numId w:val="1"/>
        </w:numPr>
        <w:tabs>
          <w:tab w:pos="693" w:val="left" w:leader="none"/>
        </w:tabs>
        <w:spacing w:line="240" w:lineRule="auto" w:before="0" w:after="0"/>
        <w:ind w:left="693" w:right="0" w:hanging="359"/>
        <w:jc w:val="left"/>
        <w:rPr>
          <w:sz w:val="22"/>
          <w:szCs w:val="22"/>
        </w:rPr>
      </w:pPr>
      <w:r>
        <w:rPr>
          <w:sz w:val="22"/>
          <w:szCs w:val="22"/>
        </w:rPr>
        <w:t>ასოცირებულ/</w:t>
      </w:r>
      <w:r>
        <w:rPr>
          <w:color w:val="FF0000"/>
          <w:sz w:val="22"/>
          <w:szCs w:val="22"/>
        </w:rPr>
        <w:t>ინვესტორ</w:t>
      </w:r>
      <w:r>
        <w:rPr>
          <w:color w:val="FF0000"/>
          <w:spacing w:val="-14"/>
          <w:sz w:val="22"/>
          <w:szCs w:val="22"/>
        </w:rPr>
        <w:t> </w:t>
      </w:r>
      <w:r>
        <w:rPr>
          <w:sz w:val="22"/>
          <w:szCs w:val="22"/>
        </w:rPr>
        <w:t>წევრთან</w:t>
      </w:r>
      <w:r>
        <w:rPr>
          <w:spacing w:val="-10"/>
          <w:sz w:val="22"/>
          <w:szCs w:val="22"/>
        </w:rPr>
        <w:t> </w:t>
      </w:r>
      <w:r>
        <w:rPr>
          <w:sz w:val="22"/>
          <w:szCs w:val="22"/>
        </w:rPr>
        <w:t>ანგარიშსწორება</w:t>
      </w:r>
      <w:r>
        <w:rPr>
          <w:spacing w:val="-10"/>
          <w:sz w:val="22"/>
          <w:szCs w:val="22"/>
        </w:rPr>
        <w:t> </w:t>
      </w:r>
      <w:r>
        <w:rPr>
          <w:sz w:val="22"/>
          <w:szCs w:val="22"/>
        </w:rPr>
        <w:t>მისი</w:t>
      </w:r>
      <w:r>
        <w:rPr>
          <w:spacing w:val="-12"/>
          <w:sz w:val="22"/>
          <w:szCs w:val="22"/>
        </w:rPr>
        <w:t> </w:t>
      </w:r>
      <w:r>
        <w:rPr>
          <w:sz w:val="22"/>
          <w:szCs w:val="22"/>
        </w:rPr>
        <w:t>კოოპერატივიდან</w:t>
      </w:r>
      <w:r>
        <w:rPr>
          <w:spacing w:val="-8"/>
          <w:sz w:val="22"/>
          <w:szCs w:val="22"/>
        </w:rPr>
        <w:t> </w:t>
      </w:r>
      <w:r>
        <w:rPr>
          <w:spacing w:val="-2"/>
          <w:sz w:val="22"/>
          <w:szCs w:val="22"/>
        </w:rPr>
        <w:t>გასვლის</w:t>
      </w:r>
    </w:p>
    <w:p>
      <w:pPr>
        <w:pStyle w:val="BodyText"/>
        <w:spacing w:before="45"/>
        <w:ind w:left="4222"/>
      </w:pPr>
      <w:r>
        <w:rPr>
          <w:spacing w:val="-2"/>
        </w:rPr>
        <w:t>შემთხვევაში</w:t>
      </w:r>
    </w:p>
    <w:p>
      <w:pPr>
        <w:pStyle w:val="BodyText"/>
        <w:spacing w:before="87"/>
      </w:pPr>
    </w:p>
    <w:p>
      <w:pPr>
        <w:pStyle w:val="ListParagraph"/>
        <w:numPr>
          <w:ilvl w:val="1"/>
          <w:numId w:val="1"/>
        </w:numPr>
        <w:tabs>
          <w:tab w:pos="360" w:val="left" w:leader="none"/>
        </w:tabs>
        <w:spacing w:line="276" w:lineRule="auto" w:before="0" w:after="0"/>
        <w:ind w:left="360" w:right="352" w:hanging="360"/>
        <w:jc w:val="both"/>
        <w:rPr>
          <w:sz w:val="22"/>
          <w:szCs w:val="22"/>
        </w:rPr>
      </w:pPr>
      <w:r>
        <w:rPr>
          <w:sz w:val="22"/>
          <w:szCs w:val="22"/>
        </w:rPr>
        <w:t>ასოცირებული/</w:t>
      </w:r>
      <w:r>
        <w:rPr>
          <w:color w:val="FF0000"/>
          <w:sz w:val="22"/>
          <w:szCs w:val="22"/>
        </w:rPr>
        <w:t>ინვესტორი</w:t>
      </w:r>
      <w:r>
        <w:rPr>
          <w:color w:val="FF0000"/>
          <w:spacing w:val="-7"/>
          <w:sz w:val="22"/>
          <w:szCs w:val="22"/>
        </w:rPr>
        <w:t> </w:t>
      </w:r>
      <w:r>
        <w:rPr>
          <w:sz w:val="22"/>
          <w:szCs w:val="22"/>
        </w:rPr>
        <w:t>წევრი</w:t>
      </w:r>
      <w:r>
        <w:rPr>
          <w:spacing w:val="-10"/>
          <w:sz w:val="22"/>
          <w:szCs w:val="22"/>
        </w:rPr>
        <w:t> </w:t>
      </w:r>
      <w:r>
        <w:rPr>
          <w:sz w:val="22"/>
          <w:szCs w:val="22"/>
        </w:rPr>
        <w:t>უფლება</w:t>
      </w:r>
      <w:r>
        <w:rPr>
          <w:spacing w:val="-9"/>
          <w:sz w:val="22"/>
          <w:szCs w:val="22"/>
        </w:rPr>
        <w:t> </w:t>
      </w:r>
      <w:r>
        <w:rPr>
          <w:sz w:val="22"/>
          <w:szCs w:val="22"/>
        </w:rPr>
        <w:t>აქვს</w:t>
      </w:r>
      <w:r>
        <w:rPr>
          <w:spacing w:val="-8"/>
          <w:sz w:val="22"/>
          <w:szCs w:val="22"/>
        </w:rPr>
        <w:t> </w:t>
      </w:r>
      <w:r>
        <w:rPr>
          <w:sz w:val="22"/>
          <w:szCs w:val="22"/>
        </w:rPr>
        <w:t>გავიდეს</w:t>
      </w:r>
      <w:r>
        <w:rPr>
          <w:spacing w:val="-7"/>
          <w:sz w:val="22"/>
          <w:szCs w:val="22"/>
        </w:rPr>
        <w:t> </w:t>
      </w:r>
      <w:r>
        <w:rPr>
          <w:sz w:val="22"/>
          <w:szCs w:val="22"/>
        </w:rPr>
        <w:t>კოოპერატივიდან</w:t>
      </w:r>
      <w:r>
        <w:rPr>
          <w:spacing w:val="-7"/>
          <w:sz w:val="22"/>
          <w:szCs w:val="22"/>
        </w:rPr>
        <w:t> </w:t>
      </w:r>
      <w:r>
        <w:rPr>
          <w:sz w:val="22"/>
          <w:szCs w:val="22"/>
        </w:rPr>
        <w:t>და</w:t>
      </w:r>
      <w:r>
        <w:rPr>
          <w:spacing w:val="-9"/>
          <w:sz w:val="22"/>
          <w:szCs w:val="22"/>
        </w:rPr>
        <w:t> </w:t>
      </w:r>
      <w:r>
        <w:rPr>
          <w:sz w:val="22"/>
          <w:szCs w:val="22"/>
        </w:rPr>
        <w:t>დაიბრუნოს მისი კუთვნილი აქტივები (შენატანები ფულის ან ქონების სახით და დივიდენდი/დივიდენდის ნაწილი). კოოპერატივიდან გასვლის შემთხვევაში მასთან ანგარიშსწორება ხდება კანონით სასოფლო-სამეურნეო კოოპერატივის შესახებ და კოოპერატივის წესდებით დადგენილი წესით;</w:t>
      </w:r>
    </w:p>
    <w:p>
      <w:pPr>
        <w:pStyle w:val="ListParagraph"/>
        <w:numPr>
          <w:ilvl w:val="1"/>
          <w:numId w:val="1"/>
        </w:numPr>
        <w:tabs>
          <w:tab w:pos="360" w:val="left" w:leader="none"/>
        </w:tabs>
        <w:spacing w:line="276" w:lineRule="auto" w:before="0" w:after="0"/>
        <w:ind w:left="360" w:right="353" w:hanging="360"/>
        <w:jc w:val="both"/>
        <w:rPr>
          <w:sz w:val="22"/>
          <w:szCs w:val="22"/>
        </w:rPr>
      </w:pPr>
      <w:r>
        <w:rPr>
          <w:sz w:val="22"/>
          <w:szCs w:val="22"/>
        </w:rPr>
        <w:t>ასოცირებული/</w:t>
      </w:r>
      <w:r>
        <w:rPr>
          <w:color w:val="FF0000"/>
          <w:sz w:val="22"/>
          <w:szCs w:val="22"/>
        </w:rPr>
        <w:t>ინვესტორი </w:t>
      </w:r>
      <w:r>
        <w:rPr>
          <w:sz w:val="22"/>
          <w:szCs w:val="22"/>
        </w:rPr>
        <w:t>წევრის განცხადება კოოპერატივიდან გასვლისა და მისი შენატანის დაბრუნების თაობაზე გადაეცემა კოოპერატივის გამგეობას კოოპერატივიდან გასვლამდე არანაკლებ --- თვით ადრე;</w:t>
      </w:r>
    </w:p>
    <w:p>
      <w:pPr>
        <w:pStyle w:val="ListParagraph"/>
        <w:numPr>
          <w:ilvl w:val="1"/>
          <w:numId w:val="1"/>
        </w:numPr>
        <w:tabs>
          <w:tab w:pos="359" w:val="left" w:leader="none"/>
          <w:tab w:pos="8795" w:val="left" w:leader="hyphen"/>
        </w:tabs>
        <w:spacing w:line="289" w:lineRule="exact" w:before="0" w:after="0"/>
        <w:ind w:left="359" w:right="0" w:hanging="359"/>
        <w:jc w:val="both"/>
        <w:rPr>
          <w:sz w:val="22"/>
          <w:szCs w:val="22"/>
        </w:rPr>
      </w:pPr>
      <w:r>
        <w:rPr>
          <w:sz w:val="22"/>
          <w:szCs w:val="22"/>
        </w:rPr>
        <w:t>გამგეობა</w:t>
      </w:r>
      <w:r>
        <w:rPr>
          <w:spacing w:val="30"/>
          <w:sz w:val="22"/>
          <w:szCs w:val="22"/>
        </w:rPr>
        <w:t> </w:t>
      </w:r>
      <w:r>
        <w:rPr>
          <w:sz w:val="22"/>
          <w:szCs w:val="22"/>
        </w:rPr>
        <w:t>ასოცირებული/</w:t>
      </w:r>
      <w:r>
        <w:rPr>
          <w:color w:val="FF0000"/>
          <w:sz w:val="22"/>
          <w:szCs w:val="22"/>
        </w:rPr>
        <w:t>ინვესტორი</w:t>
      </w:r>
      <w:r>
        <w:rPr>
          <w:color w:val="FF0000"/>
          <w:spacing w:val="33"/>
          <w:sz w:val="22"/>
          <w:szCs w:val="22"/>
        </w:rPr>
        <w:t> </w:t>
      </w:r>
      <w:r>
        <w:rPr>
          <w:sz w:val="22"/>
          <w:szCs w:val="22"/>
        </w:rPr>
        <w:t>წევრის</w:t>
      </w:r>
      <w:r>
        <w:rPr>
          <w:spacing w:val="34"/>
          <w:sz w:val="22"/>
          <w:szCs w:val="22"/>
        </w:rPr>
        <w:t>  </w:t>
      </w:r>
      <w:r>
        <w:rPr>
          <w:sz w:val="22"/>
          <w:szCs w:val="22"/>
        </w:rPr>
        <w:t>წერილობითი</w:t>
      </w:r>
      <w:r>
        <w:rPr>
          <w:spacing w:val="31"/>
          <w:sz w:val="22"/>
          <w:szCs w:val="22"/>
        </w:rPr>
        <w:t> </w:t>
      </w:r>
      <w:r>
        <w:rPr>
          <w:spacing w:val="-2"/>
          <w:sz w:val="22"/>
          <w:szCs w:val="22"/>
        </w:rPr>
        <w:t>მიმართვიდან</w:t>
      </w:r>
      <w:r>
        <w:rPr>
          <w:rFonts w:ascii="Times New Roman" w:hAnsi="Times New Roman" w:cs="Times New Roman" w:eastAsia="Times New Roman"/>
          <w:sz w:val="22"/>
          <w:szCs w:val="22"/>
        </w:rPr>
        <w:tab/>
      </w:r>
      <w:r>
        <w:rPr>
          <w:spacing w:val="-4"/>
          <w:sz w:val="22"/>
          <w:szCs w:val="22"/>
        </w:rPr>
        <w:t>დღის</w:t>
      </w:r>
    </w:p>
    <w:p>
      <w:pPr>
        <w:pStyle w:val="BodyText"/>
        <w:spacing w:line="276" w:lineRule="auto" w:before="44"/>
        <w:ind w:left="360" w:right="352"/>
        <w:jc w:val="both"/>
      </w:pPr>
      <w:r>
        <w:rPr/>
        <w:t>ვადაში ვალდებულია განიხილოს ასოცირებული/</w:t>
      </w:r>
      <w:r>
        <w:rPr>
          <w:color w:val="FF0000"/>
        </w:rPr>
        <w:t>ინვესტორი </w:t>
      </w:r>
      <w:r>
        <w:rPr/>
        <w:t>წევრის წინადადება და მიიღოს</w:t>
      </w:r>
      <w:r>
        <w:rPr>
          <w:spacing w:val="40"/>
        </w:rPr>
        <w:t> </w:t>
      </w:r>
      <w:r>
        <w:rPr/>
        <w:t>გადაწყვეტილება მისი მოთხოვნის დაკმაყოფილების პირობების ან უარყოფის </w:t>
      </w:r>
      <w:r>
        <w:rPr>
          <w:spacing w:val="-2"/>
        </w:rPr>
        <w:t>შესახებ;</w:t>
      </w:r>
    </w:p>
    <w:p>
      <w:pPr>
        <w:pStyle w:val="ListParagraph"/>
        <w:numPr>
          <w:ilvl w:val="1"/>
          <w:numId w:val="1"/>
        </w:numPr>
        <w:tabs>
          <w:tab w:pos="360" w:val="left" w:leader="none"/>
        </w:tabs>
        <w:spacing w:line="273" w:lineRule="auto" w:before="1" w:after="0"/>
        <w:ind w:left="360" w:right="355" w:hanging="360"/>
        <w:jc w:val="both"/>
        <w:rPr>
          <w:sz w:val="22"/>
          <w:szCs w:val="22"/>
        </w:rPr>
      </w:pPr>
      <w:r>
        <w:rPr>
          <w:sz w:val="22"/>
          <w:szCs w:val="22"/>
        </w:rPr>
        <w:t>ერთერთი</w:t>
      </w:r>
      <w:r>
        <w:rPr>
          <w:spacing w:val="-5"/>
          <w:sz w:val="22"/>
          <w:szCs w:val="22"/>
        </w:rPr>
        <w:t> </w:t>
      </w:r>
      <w:r>
        <w:rPr>
          <w:sz w:val="22"/>
          <w:szCs w:val="22"/>
        </w:rPr>
        <w:t>მხარის</w:t>
      </w:r>
      <w:r>
        <w:rPr>
          <w:spacing w:val="-4"/>
          <w:sz w:val="22"/>
          <w:szCs w:val="22"/>
        </w:rPr>
        <w:t> </w:t>
      </w:r>
      <w:r>
        <w:rPr>
          <w:sz w:val="22"/>
          <w:szCs w:val="22"/>
        </w:rPr>
        <w:t>მოთხოვნით,</w:t>
      </w:r>
      <w:r>
        <w:rPr>
          <w:spacing w:val="-4"/>
          <w:sz w:val="22"/>
          <w:szCs w:val="22"/>
        </w:rPr>
        <w:t> </w:t>
      </w:r>
      <w:r>
        <w:rPr>
          <w:sz w:val="22"/>
          <w:szCs w:val="22"/>
        </w:rPr>
        <w:t>ასოცირებული/</w:t>
      </w:r>
      <w:r>
        <w:rPr>
          <w:color w:val="FF0000"/>
          <w:sz w:val="22"/>
          <w:szCs w:val="22"/>
        </w:rPr>
        <w:t>ინვესტორი</w:t>
      </w:r>
      <w:r>
        <w:rPr>
          <w:color w:val="FF0000"/>
          <w:spacing w:val="-4"/>
          <w:sz w:val="22"/>
          <w:szCs w:val="22"/>
        </w:rPr>
        <w:t> </w:t>
      </w:r>
      <w:r>
        <w:rPr>
          <w:sz w:val="22"/>
          <w:szCs w:val="22"/>
        </w:rPr>
        <w:t>წევრის</w:t>
      </w:r>
      <w:r>
        <w:rPr>
          <w:spacing w:val="-2"/>
          <w:sz w:val="22"/>
          <w:szCs w:val="22"/>
        </w:rPr>
        <w:t> </w:t>
      </w:r>
      <w:r>
        <w:rPr>
          <w:sz w:val="22"/>
          <w:szCs w:val="22"/>
        </w:rPr>
        <w:t>მიერ</w:t>
      </w:r>
      <w:r>
        <w:rPr>
          <w:spacing w:val="-6"/>
          <w:sz w:val="22"/>
          <w:szCs w:val="22"/>
        </w:rPr>
        <w:t> </w:t>
      </w:r>
      <w:r>
        <w:rPr>
          <w:sz w:val="22"/>
          <w:szCs w:val="22"/>
        </w:rPr>
        <w:t>კოოპერატივიდან გასატანი</w:t>
      </w:r>
      <w:r>
        <w:rPr>
          <w:spacing w:val="80"/>
          <w:sz w:val="22"/>
          <w:szCs w:val="22"/>
        </w:rPr>
        <w:t> </w:t>
      </w:r>
      <w:r>
        <w:rPr>
          <w:sz w:val="22"/>
          <w:szCs w:val="22"/>
        </w:rPr>
        <w:t>ქონების</w:t>
      </w:r>
      <w:r>
        <w:rPr>
          <w:spacing w:val="80"/>
          <w:sz w:val="22"/>
          <w:szCs w:val="22"/>
        </w:rPr>
        <w:t> </w:t>
      </w:r>
      <w:r>
        <w:rPr>
          <w:sz w:val="22"/>
          <w:szCs w:val="22"/>
        </w:rPr>
        <w:t>ღირებულების</w:t>
      </w:r>
      <w:r>
        <w:rPr>
          <w:spacing w:val="80"/>
          <w:sz w:val="22"/>
          <w:szCs w:val="22"/>
        </w:rPr>
        <w:t> </w:t>
      </w:r>
      <w:r>
        <w:rPr>
          <w:sz w:val="22"/>
          <w:szCs w:val="22"/>
        </w:rPr>
        <w:t>შეფასება</w:t>
      </w:r>
      <w:r>
        <w:rPr>
          <w:spacing w:val="80"/>
          <w:sz w:val="22"/>
          <w:szCs w:val="22"/>
        </w:rPr>
        <w:t> </w:t>
      </w:r>
      <w:r>
        <w:rPr>
          <w:sz w:val="22"/>
          <w:szCs w:val="22"/>
        </w:rPr>
        <w:t>შესაძლებელია</w:t>
      </w:r>
      <w:r>
        <w:rPr>
          <w:spacing w:val="80"/>
          <w:sz w:val="22"/>
          <w:szCs w:val="22"/>
        </w:rPr>
        <w:t> </w:t>
      </w:r>
      <w:r>
        <w:rPr>
          <w:sz w:val="22"/>
          <w:szCs w:val="22"/>
        </w:rPr>
        <w:t>შესაბამისი</w:t>
      </w:r>
      <w:r>
        <w:rPr>
          <w:spacing w:val="80"/>
          <w:sz w:val="22"/>
          <w:szCs w:val="22"/>
        </w:rPr>
        <w:t> </w:t>
      </w:r>
      <w:r>
        <w:rPr>
          <w:sz w:val="22"/>
          <w:szCs w:val="22"/>
        </w:rPr>
        <w:t>სპეციალისტის</w:t>
      </w:r>
    </w:p>
    <w:p>
      <w:pPr>
        <w:pStyle w:val="BodyText"/>
        <w:spacing w:line="276" w:lineRule="auto" w:before="4"/>
        <w:ind w:left="360" w:right="354"/>
        <w:jc w:val="both"/>
      </w:pPr>
      <w:r>
        <w:rPr/>
        <w:t>/აკრედიტებული აუდიტორის მიერ. ექსპერტის შერჩევა შესაძლებელია როგორც ასოცირებული/</w:t>
      </w:r>
      <w:r>
        <w:rPr>
          <w:color w:val="FF0000"/>
        </w:rPr>
        <w:t>ინვესტორი </w:t>
      </w:r>
      <w:r>
        <w:rPr/>
        <w:t>წევრის, ასევე კოოპერატივის მიერ. ექსპერტიზის ხარჯებს ასოცირებული/</w:t>
      </w:r>
      <w:r>
        <w:rPr>
          <w:color w:val="FF0000"/>
        </w:rPr>
        <w:t>ინვესტორი </w:t>
      </w:r>
      <w:r>
        <w:rPr/>
        <w:t>წევრი და კოოპერატივი ინაწილებენ თანაბრად;</w:t>
      </w:r>
    </w:p>
    <w:p>
      <w:pPr>
        <w:pStyle w:val="ListParagraph"/>
        <w:numPr>
          <w:ilvl w:val="1"/>
          <w:numId w:val="1"/>
        </w:numPr>
        <w:tabs>
          <w:tab w:pos="360" w:val="left" w:leader="none"/>
        </w:tabs>
        <w:spacing w:line="276" w:lineRule="auto" w:before="2" w:after="0"/>
        <w:ind w:left="360" w:right="353" w:hanging="360"/>
        <w:jc w:val="both"/>
        <w:rPr>
          <w:sz w:val="22"/>
          <w:szCs w:val="22"/>
        </w:rPr>
      </w:pPr>
      <w:r>
        <w:rPr>
          <w:sz w:val="22"/>
          <w:szCs w:val="22"/>
        </w:rPr>
        <w:t>იმ შემთხვევაში, თუ რომელიმე მხარე არ ეთანხმება ექსპერტის დასკვნას, შეუძლია განახორციელოს განმეორებითი ექსპერტიზა საკუთარი ხარჯებით;</w:t>
      </w:r>
    </w:p>
    <w:p>
      <w:pPr>
        <w:pStyle w:val="ListParagraph"/>
        <w:numPr>
          <w:ilvl w:val="1"/>
          <w:numId w:val="1"/>
        </w:numPr>
        <w:tabs>
          <w:tab w:pos="360" w:val="left" w:leader="none"/>
        </w:tabs>
        <w:spacing w:line="276" w:lineRule="auto" w:before="0" w:after="0"/>
        <w:ind w:left="360" w:right="353" w:hanging="360"/>
        <w:jc w:val="both"/>
        <w:rPr>
          <w:sz w:val="22"/>
          <w:szCs w:val="22"/>
        </w:rPr>
      </w:pPr>
      <w:r>
        <w:rPr>
          <w:sz w:val="22"/>
          <w:szCs w:val="22"/>
        </w:rPr>
        <w:t>თუ მხარეები არ ეთანხმებიან განმეორებითი ექსპერტიზის დასკვნას და ჩატარებული ექსპერტიზები არ იყო განხორციელებული სსიპ ლევან სამხარაულის სახელობის სასამართლო ექსპერტიზის ეროვნული ბიუროს მიერ, ასეთ შემთხვევაში ექსპერტიზა ტარდება ამ უკანასკნელის მიერ ასოცირებულ/</w:t>
      </w:r>
      <w:r>
        <w:rPr>
          <w:color w:val="FF0000"/>
          <w:sz w:val="22"/>
          <w:szCs w:val="22"/>
        </w:rPr>
        <w:t>ინვესტორ </w:t>
      </w:r>
      <w:r>
        <w:rPr>
          <w:sz w:val="22"/>
          <w:szCs w:val="22"/>
        </w:rPr>
        <w:t>წევრსა და კოოპერატივის მიერ ხარჯების თანაბარი განაწილებით;</w:t>
      </w:r>
    </w:p>
    <w:p>
      <w:pPr>
        <w:pStyle w:val="ListParagraph"/>
        <w:numPr>
          <w:ilvl w:val="1"/>
          <w:numId w:val="1"/>
        </w:numPr>
        <w:tabs>
          <w:tab w:pos="360" w:val="left" w:leader="none"/>
        </w:tabs>
        <w:spacing w:line="276" w:lineRule="auto" w:before="0" w:after="0"/>
        <w:ind w:left="360" w:right="353" w:hanging="360"/>
        <w:jc w:val="both"/>
        <w:rPr>
          <w:sz w:val="22"/>
          <w:szCs w:val="22"/>
        </w:rPr>
      </w:pPr>
      <w:r>
        <w:rPr>
          <w:sz w:val="22"/>
          <w:szCs w:val="22"/>
        </w:rPr>
        <w:t>იმ შემთხვევაში,</w:t>
      </w:r>
      <w:r>
        <w:rPr>
          <w:spacing w:val="-2"/>
          <w:sz w:val="22"/>
          <w:szCs w:val="22"/>
        </w:rPr>
        <w:t> </w:t>
      </w:r>
      <w:r>
        <w:rPr>
          <w:sz w:val="22"/>
          <w:szCs w:val="22"/>
        </w:rPr>
        <w:t>თუ</w:t>
      </w:r>
      <w:r>
        <w:rPr>
          <w:spacing w:val="-1"/>
          <w:sz w:val="22"/>
          <w:szCs w:val="22"/>
        </w:rPr>
        <w:t> </w:t>
      </w:r>
      <w:r>
        <w:rPr>
          <w:sz w:val="22"/>
          <w:szCs w:val="22"/>
        </w:rPr>
        <w:t>ასოცირებული/</w:t>
      </w:r>
      <w:r>
        <w:rPr>
          <w:color w:val="FF0000"/>
          <w:sz w:val="22"/>
          <w:szCs w:val="22"/>
        </w:rPr>
        <w:t>ინვესტორი</w:t>
      </w:r>
      <w:r>
        <w:rPr>
          <w:color w:val="FF0000"/>
          <w:spacing w:val="-1"/>
          <w:sz w:val="22"/>
          <w:szCs w:val="22"/>
        </w:rPr>
        <w:t> </w:t>
      </w:r>
      <w:r>
        <w:rPr>
          <w:sz w:val="22"/>
          <w:szCs w:val="22"/>
        </w:rPr>
        <w:t>წევრის</w:t>
      </w:r>
      <w:r>
        <w:rPr>
          <w:spacing w:val="40"/>
          <w:sz w:val="22"/>
          <w:szCs w:val="22"/>
        </w:rPr>
        <w:t> </w:t>
      </w:r>
      <w:r>
        <w:rPr>
          <w:sz w:val="22"/>
          <w:szCs w:val="22"/>
        </w:rPr>
        <w:t>მიერ</w:t>
      </w:r>
      <w:r>
        <w:rPr>
          <w:spacing w:val="-1"/>
          <w:sz w:val="22"/>
          <w:szCs w:val="22"/>
        </w:rPr>
        <w:t> </w:t>
      </w:r>
      <w:r>
        <w:rPr>
          <w:sz w:val="22"/>
          <w:szCs w:val="22"/>
        </w:rPr>
        <w:t>შენატანის სახით</w:t>
      </w:r>
      <w:r>
        <w:rPr>
          <w:spacing w:val="-1"/>
          <w:sz w:val="22"/>
          <w:szCs w:val="22"/>
        </w:rPr>
        <w:t> </w:t>
      </w:r>
      <w:r>
        <w:rPr>
          <w:sz w:val="22"/>
          <w:szCs w:val="22"/>
        </w:rPr>
        <w:t>შეტანილი ქონების</w:t>
      </w:r>
      <w:r>
        <w:rPr>
          <w:spacing w:val="79"/>
          <w:sz w:val="22"/>
          <w:szCs w:val="22"/>
        </w:rPr>
        <w:t> </w:t>
      </w:r>
      <w:r>
        <w:rPr>
          <w:sz w:val="22"/>
          <w:szCs w:val="22"/>
        </w:rPr>
        <w:t>გატანა</w:t>
      </w:r>
      <w:r>
        <w:rPr>
          <w:spacing w:val="78"/>
          <w:sz w:val="22"/>
          <w:szCs w:val="22"/>
        </w:rPr>
        <w:t> </w:t>
      </w:r>
      <w:r>
        <w:rPr>
          <w:sz w:val="22"/>
          <w:szCs w:val="22"/>
        </w:rPr>
        <w:t>საფრთხეს</w:t>
      </w:r>
      <w:r>
        <w:rPr>
          <w:spacing w:val="78"/>
          <w:sz w:val="22"/>
          <w:szCs w:val="22"/>
        </w:rPr>
        <w:t> </w:t>
      </w:r>
      <w:r>
        <w:rPr>
          <w:sz w:val="22"/>
          <w:szCs w:val="22"/>
        </w:rPr>
        <w:t>უქმნის</w:t>
      </w:r>
      <w:r>
        <w:rPr>
          <w:spacing w:val="79"/>
          <w:sz w:val="22"/>
          <w:szCs w:val="22"/>
        </w:rPr>
        <w:t> </w:t>
      </w:r>
      <w:r>
        <w:rPr>
          <w:sz w:val="22"/>
          <w:szCs w:val="22"/>
        </w:rPr>
        <w:t>ან</w:t>
      </w:r>
      <w:r>
        <w:rPr>
          <w:spacing w:val="79"/>
          <w:sz w:val="22"/>
          <w:szCs w:val="22"/>
        </w:rPr>
        <w:t> </w:t>
      </w:r>
      <w:r>
        <w:rPr>
          <w:sz w:val="22"/>
          <w:szCs w:val="22"/>
        </w:rPr>
        <w:t>აფერხებს</w:t>
      </w:r>
      <w:r>
        <w:rPr>
          <w:spacing w:val="80"/>
          <w:sz w:val="22"/>
          <w:szCs w:val="22"/>
        </w:rPr>
        <w:t> </w:t>
      </w:r>
      <w:r>
        <w:rPr>
          <w:sz w:val="22"/>
          <w:szCs w:val="22"/>
        </w:rPr>
        <w:t>სასოფლო-სამეურნეო</w:t>
      </w:r>
      <w:r>
        <w:rPr>
          <w:spacing w:val="79"/>
          <w:sz w:val="22"/>
          <w:szCs w:val="22"/>
        </w:rPr>
        <w:t> </w:t>
      </w:r>
      <w:r>
        <w:rPr>
          <w:sz w:val="22"/>
          <w:szCs w:val="22"/>
        </w:rPr>
        <w:t>კოოპერატივის</w:t>
      </w:r>
    </w:p>
    <w:p>
      <w:pPr>
        <w:pStyle w:val="ListParagraph"/>
        <w:spacing w:after="0" w:line="276" w:lineRule="auto"/>
        <w:jc w:val="both"/>
        <w:rPr>
          <w:sz w:val="22"/>
          <w:szCs w:val="22"/>
        </w:rPr>
        <w:sectPr>
          <w:pgSz w:w="12240" w:h="15840"/>
          <w:pgMar w:top="1740" w:bottom="280" w:left="1440" w:right="1080"/>
        </w:sectPr>
      </w:pPr>
    </w:p>
    <w:p>
      <w:pPr>
        <w:pStyle w:val="BodyText"/>
        <w:spacing w:line="276" w:lineRule="auto" w:before="22"/>
        <w:ind w:left="360" w:right="355"/>
        <w:jc w:val="both"/>
      </w:pPr>
      <w:r>
        <w:rPr/>
        <w:t>საქმიანობას, ასოცირებული/</w:t>
      </w:r>
      <w:r>
        <w:rPr>
          <w:color w:val="FF0000"/>
        </w:rPr>
        <w:t>ინვესტორი </w:t>
      </w:r>
      <w:r>
        <w:rPr/>
        <w:t>წევრი ქონების დაბრუნების სანაცვლოდ იღებს მისი ღირებულების შესაბამის ფულად ანაზღაურებას;</w:t>
      </w:r>
    </w:p>
    <w:p>
      <w:pPr>
        <w:pStyle w:val="ListParagraph"/>
        <w:numPr>
          <w:ilvl w:val="1"/>
          <w:numId w:val="1"/>
        </w:numPr>
        <w:tabs>
          <w:tab w:pos="360" w:val="left" w:leader="none"/>
        </w:tabs>
        <w:spacing w:line="276" w:lineRule="auto" w:before="1" w:after="0"/>
        <w:ind w:left="360" w:right="354" w:hanging="360"/>
        <w:jc w:val="both"/>
        <w:rPr>
          <w:sz w:val="22"/>
          <w:szCs w:val="22"/>
        </w:rPr>
      </w:pPr>
      <w:r>
        <w:rPr>
          <w:sz w:val="22"/>
          <w:szCs w:val="22"/>
        </w:rPr>
        <w:t>კოოპერატივიდან გასვლის შემთხვევაში, ფულით განხორციელებული შენატანი ასოცირებულ/</w:t>
      </w:r>
      <w:r>
        <w:rPr>
          <w:color w:val="FF0000"/>
          <w:sz w:val="22"/>
          <w:szCs w:val="22"/>
        </w:rPr>
        <w:t>ინვესტორ </w:t>
      </w:r>
      <w:r>
        <w:rPr>
          <w:sz w:val="22"/>
          <w:szCs w:val="22"/>
        </w:rPr>
        <w:t>წევრს</w:t>
      </w:r>
      <w:r>
        <w:rPr>
          <w:spacing w:val="40"/>
          <w:sz w:val="22"/>
          <w:szCs w:val="22"/>
        </w:rPr>
        <w:t> </w:t>
      </w:r>
      <w:r>
        <w:rPr>
          <w:sz w:val="22"/>
          <w:szCs w:val="22"/>
        </w:rPr>
        <w:t>უბრუნდება იმავე ოდენობით, რა ოდენობითაც განახორციელა შენატანი;</w:t>
      </w:r>
    </w:p>
    <w:p>
      <w:pPr>
        <w:pStyle w:val="ListParagraph"/>
        <w:numPr>
          <w:ilvl w:val="1"/>
          <w:numId w:val="1"/>
        </w:numPr>
        <w:tabs>
          <w:tab w:pos="360" w:val="left" w:leader="none"/>
        </w:tabs>
        <w:spacing w:line="276" w:lineRule="auto" w:before="0" w:after="0"/>
        <w:ind w:left="360" w:right="355" w:hanging="360"/>
        <w:jc w:val="both"/>
        <w:rPr>
          <w:sz w:val="22"/>
          <w:szCs w:val="22"/>
        </w:rPr>
      </w:pPr>
      <w:r>
        <w:rPr>
          <w:sz w:val="22"/>
          <w:szCs w:val="22"/>
        </w:rPr>
        <w:t>სავალუტო კურსის ცვლილებების შემთხვევაში შესაძლებელია მხარეთა შეთანხმება ფულით განხორციელებული შენატანის დასაბრუნებელი ღირებულების კორექტირების </w:t>
      </w:r>
      <w:r>
        <w:rPr>
          <w:spacing w:val="-2"/>
          <w:sz w:val="22"/>
          <w:szCs w:val="22"/>
        </w:rPr>
        <w:t>შესახებ;</w:t>
      </w:r>
    </w:p>
    <w:p>
      <w:pPr>
        <w:pStyle w:val="ListParagraph"/>
        <w:numPr>
          <w:ilvl w:val="1"/>
          <w:numId w:val="1"/>
        </w:numPr>
        <w:tabs>
          <w:tab w:pos="360" w:val="left" w:leader="none"/>
          <w:tab w:pos="719" w:val="left" w:leader="none"/>
        </w:tabs>
        <w:spacing w:line="273" w:lineRule="auto" w:before="0" w:after="0"/>
        <w:ind w:left="360" w:right="354" w:hanging="360"/>
        <w:jc w:val="both"/>
        <w:rPr>
          <w:sz w:val="22"/>
          <w:szCs w:val="22"/>
        </w:rPr>
      </w:pPr>
      <w:r>
        <w:rPr>
          <w:sz w:val="22"/>
          <w:szCs w:val="22"/>
        </w:rPr>
        <w:t>ასოცირებულ/</w:t>
      </w:r>
      <w:r>
        <w:rPr>
          <w:color w:val="FF0000"/>
          <w:sz w:val="22"/>
          <w:szCs w:val="22"/>
        </w:rPr>
        <w:t>ინვესტორ </w:t>
      </w:r>
      <w:r>
        <w:rPr>
          <w:sz w:val="22"/>
          <w:szCs w:val="22"/>
        </w:rPr>
        <w:t>წევრთან საბოლოო ანგარიშსწორება უნდა განხორციელდეს არაუგვიანეს კოოპერატივიდან გასვლიდან 6 (ექვსი) თვის განმავლობაში.</w:t>
      </w:r>
    </w:p>
    <w:p>
      <w:pPr>
        <w:pStyle w:val="BodyText"/>
      </w:pPr>
    </w:p>
    <w:p>
      <w:pPr>
        <w:pStyle w:val="BodyText"/>
        <w:spacing w:before="49"/>
      </w:pPr>
    </w:p>
    <w:p>
      <w:pPr>
        <w:pStyle w:val="ListParagraph"/>
        <w:numPr>
          <w:ilvl w:val="0"/>
          <w:numId w:val="1"/>
        </w:numPr>
        <w:tabs>
          <w:tab w:pos="937" w:val="left" w:leader="none"/>
        </w:tabs>
        <w:spacing w:line="240" w:lineRule="auto" w:before="0" w:after="0"/>
        <w:ind w:left="937" w:right="0" w:hanging="359"/>
        <w:jc w:val="left"/>
        <w:rPr>
          <w:sz w:val="22"/>
          <w:szCs w:val="22"/>
        </w:rPr>
      </w:pPr>
      <w:r>
        <w:rPr>
          <w:sz w:val="22"/>
          <w:szCs w:val="22"/>
        </w:rPr>
        <w:t>კოოპერატივის</w:t>
      </w:r>
      <w:r>
        <w:rPr>
          <w:spacing w:val="-8"/>
          <w:sz w:val="22"/>
          <w:szCs w:val="22"/>
        </w:rPr>
        <w:t> </w:t>
      </w:r>
      <w:r>
        <w:rPr>
          <w:sz w:val="22"/>
          <w:szCs w:val="22"/>
        </w:rPr>
        <w:t>რეორგანიზაციის</w:t>
      </w:r>
      <w:r>
        <w:rPr>
          <w:spacing w:val="-6"/>
          <w:sz w:val="22"/>
          <w:szCs w:val="22"/>
        </w:rPr>
        <w:t> </w:t>
      </w:r>
      <w:r>
        <w:rPr>
          <w:sz w:val="22"/>
          <w:szCs w:val="22"/>
        </w:rPr>
        <w:t>ან</w:t>
      </w:r>
      <w:r>
        <w:rPr>
          <w:spacing w:val="-9"/>
          <w:sz w:val="22"/>
          <w:szCs w:val="22"/>
        </w:rPr>
        <w:t> </w:t>
      </w:r>
      <w:r>
        <w:rPr>
          <w:sz w:val="22"/>
          <w:szCs w:val="22"/>
        </w:rPr>
        <w:t>დაშლისას</w:t>
      </w:r>
      <w:r>
        <w:rPr>
          <w:spacing w:val="-8"/>
          <w:sz w:val="22"/>
          <w:szCs w:val="22"/>
        </w:rPr>
        <w:t> </w:t>
      </w:r>
      <w:r>
        <w:rPr>
          <w:sz w:val="22"/>
          <w:szCs w:val="22"/>
        </w:rPr>
        <w:t>დარჩენილი</w:t>
      </w:r>
      <w:r>
        <w:rPr>
          <w:spacing w:val="-9"/>
          <w:sz w:val="22"/>
          <w:szCs w:val="22"/>
        </w:rPr>
        <w:t> </w:t>
      </w:r>
      <w:r>
        <w:rPr>
          <w:sz w:val="22"/>
          <w:szCs w:val="22"/>
        </w:rPr>
        <w:t>ქონებიდან</w:t>
      </w:r>
      <w:r>
        <w:rPr>
          <w:spacing w:val="-5"/>
          <w:sz w:val="22"/>
          <w:szCs w:val="22"/>
        </w:rPr>
        <w:t> </w:t>
      </w:r>
      <w:r>
        <w:rPr>
          <w:spacing w:val="-2"/>
          <w:sz w:val="22"/>
          <w:szCs w:val="22"/>
        </w:rPr>
        <w:t>შესაბამისი</w:t>
      </w:r>
    </w:p>
    <w:p>
      <w:pPr>
        <w:pStyle w:val="BodyText"/>
        <w:spacing w:before="22"/>
        <w:ind w:left="3790"/>
      </w:pPr>
      <w:r>
        <w:rPr/>
        <w:t>წილის</w:t>
      </w:r>
      <w:r>
        <w:rPr>
          <w:spacing w:val="-7"/>
        </w:rPr>
        <w:t> </w:t>
      </w:r>
      <w:r>
        <w:rPr/>
        <w:t>დაბრუნების</w:t>
      </w:r>
      <w:r>
        <w:rPr>
          <w:spacing w:val="-4"/>
        </w:rPr>
        <w:t> წესი</w:t>
      </w:r>
    </w:p>
    <w:p>
      <w:pPr>
        <w:pStyle w:val="BodyText"/>
        <w:spacing w:before="47"/>
      </w:pPr>
    </w:p>
    <w:p>
      <w:pPr>
        <w:pStyle w:val="ListParagraph"/>
        <w:numPr>
          <w:ilvl w:val="1"/>
          <w:numId w:val="1"/>
        </w:numPr>
        <w:tabs>
          <w:tab w:pos="360" w:val="left" w:leader="none"/>
        </w:tabs>
        <w:spacing w:line="259" w:lineRule="auto" w:before="0" w:after="0"/>
        <w:ind w:left="360" w:right="355" w:hanging="360"/>
        <w:jc w:val="both"/>
        <w:rPr>
          <w:sz w:val="22"/>
          <w:szCs w:val="22"/>
        </w:rPr>
      </w:pPr>
      <w:r>
        <w:rPr>
          <w:sz w:val="22"/>
          <w:szCs w:val="22"/>
        </w:rPr>
        <w:t>კრედიტორების მოთხოვნების დაკმაყოფილების, სახელფასო დავალიანების და სხვა აუცილებელი</w:t>
      </w:r>
      <w:r>
        <w:rPr>
          <w:spacing w:val="-14"/>
          <w:sz w:val="22"/>
          <w:szCs w:val="22"/>
        </w:rPr>
        <w:t> </w:t>
      </w:r>
      <w:r>
        <w:rPr>
          <w:sz w:val="22"/>
          <w:szCs w:val="22"/>
        </w:rPr>
        <w:t>ხარჯების</w:t>
      </w:r>
      <w:r>
        <w:rPr>
          <w:spacing w:val="-13"/>
          <w:sz w:val="22"/>
          <w:szCs w:val="22"/>
        </w:rPr>
        <w:t> </w:t>
      </w:r>
      <w:r>
        <w:rPr>
          <w:sz w:val="22"/>
          <w:szCs w:val="22"/>
        </w:rPr>
        <w:t>დაფარვის</w:t>
      </w:r>
      <w:r>
        <w:rPr>
          <w:spacing w:val="-12"/>
          <w:sz w:val="22"/>
          <w:szCs w:val="22"/>
        </w:rPr>
        <w:t> </w:t>
      </w:r>
      <w:r>
        <w:rPr>
          <w:sz w:val="22"/>
          <w:szCs w:val="22"/>
        </w:rPr>
        <w:t>შემდეგ,</w:t>
      </w:r>
      <w:r>
        <w:rPr>
          <w:spacing w:val="-13"/>
          <w:sz w:val="22"/>
          <w:szCs w:val="22"/>
        </w:rPr>
        <w:t> </w:t>
      </w:r>
      <w:r>
        <w:rPr>
          <w:sz w:val="22"/>
          <w:szCs w:val="22"/>
        </w:rPr>
        <w:t>ასოცირებული/</w:t>
      </w:r>
      <w:r>
        <w:rPr>
          <w:color w:val="FF0000"/>
          <w:sz w:val="22"/>
          <w:szCs w:val="22"/>
        </w:rPr>
        <w:t>ინვესტორი</w:t>
      </w:r>
      <w:r>
        <w:rPr>
          <w:color w:val="FF0000"/>
          <w:spacing w:val="-13"/>
          <w:sz w:val="22"/>
          <w:szCs w:val="22"/>
        </w:rPr>
        <w:t> </w:t>
      </w:r>
      <w:r>
        <w:rPr>
          <w:sz w:val="22"/>
          <w:szCs w:val="22"/>
        </w:rPr>
        <w:t>წევრი</w:t>
      </w:r>
      <w:r>
        <w:rPr>
          <w:spacing w:val="-13"/>
          <w:sz w:val="22"/>
          <w:szCs w:val="22"/>
        </w:rPr>
        <w:t> </w:t>
      </w:r>
      <w:r>
        <w:rPr>
          <w:sz w:val="22"/>
          <w:szCs w:val="22"/>
        </w:rPr>
        <w:t>დაიბრუნებს მის შენატანს და კუთვნილ აქტივებს დარჩენილი ქონებიდან, მეპაიეებზე კოოპერატივის ქონების განაწილებამდე;</w:t>
      </w:r>
    </w:p>
    <w:p>
      <w:pPr>
        <w:pStyle w:val="ListParagraph"/>
        <w:numPr>
          <w:ilvl w:val="1"/>
          <w:numId w:val="1"/>
        </w:numPr>
        <w:tabs>
          <w:tab w:pos="359" w:val="left" w:leader="none"/>
        </w:tabs>
        <w:spacing w:line="289" w:lineRule="exact" w:before="0" w:after="0"/>
        <w:ind w:left="359" w:right="0" w:hanging="359"/>
        <w:jc w:val="both"/>
        <w:rPr>
          <w:sz w:val="22"/>
          <w:szCs w:val="22"/>
        </w:rPr>
      </w:pPr>
      <w:r>
        <w:rPr>
          <w:sz w:val="22"/>
          <w:szCs w:val="22"/>
        </w:rPr>
        <w:t>დარჩენილი</w:t>
      </w:r>
      <w:r>
        <w:rPr>
          <w:spacing w:val="2"/>
          <w:sz w:val="22"/>
          <w:szCs w:val="22"/>
        </w:rPr>
        <w:t> </w:t>
      </w:r>
      <w:r>
        <w:rPr>
          <w:sz w:val="22"/>
          <w:szCs w:val="22"/>
        </w:rPr>
        <w:t>ქონების</w:t>
      </w:r>
      <w:r>
        <w:rPr>
          <w:spacing w:val="5"/>
          <w:sz w:val="22"/>
          <w:szCs w:val="22"/>
        </w:rPr>
        <w:t> </w:t>
      </w:r>
      <w:r>
        <w:rPr>
          <w:sz w:val="22"/>
          <w:szCs w:val="22"/>
        </w:rPr>
        <w:t>ღირებულების</w:t>
      </w:r>
      <w:r>
        <w:rPr>
          <w:spacing w:val="4"/>
          <w:sz w:val="22"/>
          <w:szCs w:val="22"/>
        </w:rPr>
        <w:t> </w:t>
      </w:r>
      <w:r>
        <w:rPr>
          <w:sz w:val="22"/>
          <w:szCs w:val="22"/>
        </w:rPr>
        <w:t>შეფასება</w:t>
      </w:r>
      <w:r>
        <w:rPr>
          <w:spacing w:val="3"/>
          <w:sz w:val="22"/>
          <w:szCs w:val="22"/>
        </w:rPr>
        <w:t> </w:t>
      </w:r>
      <w:r>
        <w:rPr>
          <w:sz w:val="22"/>
          <w:szCs w:val="22"/>
        </w:rPr>
        <w:t>შესაძლებელია</w:t>
      </w:r>
      <w:r>
        <w:rPr>
          <w:spacing w:val="3"/>
          <w:sz w:val="22"/>
          <w:szCs w:val="22"/>
        </w:rPr>
        <w:t> </w:t>
      </w:r>
      <w:r>
        <w:rPr>
          <w:sz w:val="22"/>
          <w:szCs w:val="22"/>
        </w:rPr>
        <w:t>შესაბამისი</w:t>
      </w:r>
      <w:r>
        <w:rPr>
          <w:spacing w:val="3"/>
          <w:sz w:val="22"/>
          <w:szCs w:val="22"/>
        </w:rPr>
        <w:t> </w:t>
      </w:r>
      <w:r>
        <w:rPr>
          <w:sz w:val="22"/>
          <w:szCs w:val="22"/>
        </w:rPr>
        <w:t>სპეციალისტის</w:t>
      </w:r>
      <w:r>
        <w:rPr>
          <w:spacing w:val="3"/>
          <w:sz w:val="22"/>
          <w:szCs w:val="22"/>
        </w:rPr>
        <w:t> </w:t>
      </w:r>
      <w:r>
        <w:rPr>
          <w:spacing w:val="-10"/>
          <w:sz w:val="22"/>
          <w:szCs w:val="22"/>
        </w:rPr>
        <w:t>-</w:t>
      </w:r>
    </w:p>
    <w:p>
      <w:pPr>
        <w:pStyle w:val="BodyText"/>
        <w:spacing w:before="23"/>
        <w:ind w:left="360"/>
        <w:jc w:val="both"/>
      </w:pPr>
      <w:r>
        <w:rPr>
          <w:spacing w:val="-2"/>
        </w:rPr>
        <w:t>ექსპერტის/აკრედიტებული</w:t>
      </w:r>
      <w:r>
        <w:rPr>
          <w:spacing w:val="17"/>
        </w:rPr>
        <w:t> </w:t>
      </w:r>
      <w:r>
        <w:rPr>
          <w:spacing w:val="-2"/>
        </w:rPr>
        <w:t>აუდიტორის</w:t>
      </w:r>
      <w:r>
        <w:rPr>
          <w:spacing w:val="17"/>
        </w:rPr>
        <w:t> </w:t>
      </w:r>
      <w:r>
        <w:rPr>
          <w:spacing w:val="-4"/>
        </w:rPr>
        <w:t>მიერ;</w:t>
      </w:r>
    </w:p>
    <w:p>
      <w:pPr>
        <w:pStyle w:val="ListParagraph"/>
        <w:numPr>
          <w:ilvl w:val="1"/>
          <w:numId w:val="1"/>
        </w:numPr>
        <w:tabs>
          <w:tab w:pos="360" w:val="left" w:leader="none"/>
        </w:tabs>
        <w:spacing w:line="259" w:lineRule="auto" w:before="22" w:after="0"/>
        <w:ind w:left="360" w:right="355" w:hanging="360"/>
        <w:jc w:val="both"/>
        <w:rPr>
          <w:sz w:val="22"/>
          <w:szCs w:val="22"/>
        </w:rPr>
      </w:pPr>
      <w:r>
        <w:rPr>
          <w:sz w:val="22"/>
          <w:szCs w:val="22"/>
        </w:rPr>
        <w:t>დარჩენილი ქონების განაწილება შესაძლებელია მოხდეს ნატურით. სხვა შემთხვევაში ასოცირებული/</w:t>
      </w:r>
      <w:r>
        <w:rPr>
          <w:color w:val="FF0000"/>
          <w:sz w:val="22"/>
          <w:szCs w:val="22"/>
        </w:rPr>
        <w:t>ინვესტორი </w:t>
      </w:r>
      <w:r>
        <w:rPr>
          <w:sz w:val="22"/>
          <w:szCs w:val="22"/>
        </w:rPr>
        <w:t>წევრის კუთვნილი აქტივების დაბრუნება უნდა მოხდეს დარჩენილი ქონების რეალიზაციის შედეგად ამონაგები თანხიდან.</w:t>
      </w:r>
    </w:p>
    <w:p>
      <w:pPr>
        <w:pStyle w:val="BodyText"/>
        <w:spacing w:before="22"/>
      </w:pPr>
    </w:p>
    <w:p>
      <w:pPr>
        <w:pStyle w:val="ListParagraph"/>
        <w:numPr>
          <w:ilvl w:val="0"/>
          <w:numId w:val="1"/>
        </w:numPr>
        <w:tabs>
          <w:tab w:pos="1392" w:val="left" w:leader="none"/>
        </w:tabs>
        <w:spacing w:line="240" w:lineRule="auto" w:before="0" w:after="0"/>
        <w:ind w:left="1392" w:right="0" w:hanging="451"/>
        <w:jc w:val="left"/>
        <w:rPr>
          <w:sz w:val="22"/>
          <w:szCs w:val="22"/>
        </w:rPr>
      </w:pPr>
      <w:r>
        <w:rPr>
          <w:sz w:val="22"/>
          <w:szCs w:val="22"/>
        </w:rPr>
        <w:t>მხარეთა</w:t>
      </w:r>
      <w:r>
        <w:rPr>
          <w:spacing w:val="-11"/>
          <w:sz w:val="22"/>
          <w:szCs w:val="22"/>
        </w:rPr>
        <w:t> </w:t>
      </w:r>
      <w:r>
        <w:rPr>
          <w:sz w:val="22"/>
          <w:szCs w:val="22"/>
        </w:rPr>
        <w:t>მიერ</w:t>
      </w:r>
      <w:r>
        <w:rPr>
          <w:spacing w:val="-6"/>
          <w:sz w:val="22"/>
          <w:szCs w:val="22"/>
        </w:rPr>
        <w:t> </w:t>
      </w:r>
      <w:r>
        <w:rPr>
          <w:sz w:val="22"/>
          <w:szCs w:val="22"/>
        </w:rPr>
        <w:t>წინამდებარე</w:t>
      </w:r>
      <w:r>
        <w:rPr>
          <w:spacing w:val="-4"/>
          <w:sz w:val="22"/>
          <w:szCs w:val="22"/>
        </w:rPr>
        <w:t> </w:t>
      </w:r>
      <w:r>
        <w:rPr>
          <w:sz w:val="22"/>
          <w:szCs w:val="22"/>
        </w:rPr>
        <w:t>ხელშეკრულებით</w:t>
      </w:r>
      <w:r>
        <w:rPr>
          <w:spacing w:val="-8"/>
          <w:sz w:val="22"/>
          <w:szCs w:val="22"/>
        </w:rPr>
        <w:t> </w:t>
      </w:r>
      <w:r>
        <w:rPr>
          <w:sz w:val="22"/>
          <w:szCs w:val="22"/>
        </w:rPr>
        <w:t>ნაკისრი</w:t>
      </w:r>
      <w:r>
        <w:rPr>
          <w:spacing w:val="-6"/>
          <w:sz w:val="22"/>
          <w:szCs w:val="22"/>
        </w:rPr>
        <w:t> </w:t>
      </w:r>
      <w:r>
        <w:rPr>
          <w:spacing w:val="-2"/>
          <w:sz w:val="22"/>
          <w:szCs w:val="22"/>
        </w:rPr>
        <w:t>ვალდებულებების</w:t>
      </w:r>
    </w:p>
    <w:p>
      <w:pPr>
        <w:pStyle w:val="BodyText"/>
        <w:spacing w:before="25"/>
        <w:ind w:left="3605"/>
      </w:pPr>
      <w:r>
        <w:rPr/>
        <w:t>შეუსრულებლობის</w:t>
      </w:r>
      <w:r>
        <w:rPr>
          <w:spacing w:val="-10"/>
        </w:rPr>
        <w:t> </w:t>
      </w:r>
      <w:r>
        <w:rPr>
          <w:spacing w:val="-2"/>
        </w:rPr>
        <w:t>შედეგები</w:t>
      </w:r>
    </w:p>
    <w:p>
      <w:pPr>
        <w:pStyle w:val="BodyText"/>
        <w:spacing w:before="44"/>
      </w:pPr>
    </w:p>
    <w:p>
      <w:pPr>
        <w:pStyle w:val="ListParagraph"/>
        <w:numPr>
          <w:ilvl w:val="1"/>
          <w:numId w:val="1"/>
        </w:numPr>
        <w:tabs>
          <w:tab w:pos="360" w:val="left" w:leader="none"/>
        </w:tabs>
        <w:spacing w:line="259" w:lineRule="auto" w:before="1" w:after="0"/>
        <w:ind w:left="360" w:right="353" w:hanging="360"/>
        <w:jc w:val="both"/>
        <w:rPr>
          <w:sz w:val="22"/>
          <w:szCs w:val="22"/>
        </w:rPr>
      </w:pPr>
      <w:r>
        <w:rPr>
          <w:sz w:val="22"/>
          <w:szCs w:val="22"/>
        </w:rPr>
        <w:t>ხელშეკრულებით ნაკისრი ვალდებულებების</w:t>
      </w:r>
      <w:r>
        <w:rPr>
          <w:spacing w:val="40"/>
          <w:sz w:val="22"/>
          <w:szCs w:val="22"/>
        </w:rPr>
        <w:t> </w:t>
      </w:r>
      <w:r>
        <w:rPr>
          <w:sz w:val="22"/>
          <w:szCs w:val="22"/>
        </w:rPr>
        <w:t>შეუსრულებლობის ან არაჯეროვნად შესრულების შემთხვევაში მხარეები პასუხს აგებენ საქართველოს მოქმედი კანონმდებლობის შესაბამისად.</w:t>
      </w:r>
    </w:p>
    <w:p>
      <w:pPr>
        <w:pStyle w:val="ListParagraph"/>
        <w:numPr>
          <w:ilvl w:val="1"/>
          <w:numId w:val="1"/>
        </w:numPr>
        <w:tabs>
          <w:tab w:pos="359" w:val="left" w:leader="none"/>
        </w:tabs>
        <w:spacing w:line="289" w:lineRule="exact" w:before="0" w:after="0"/>
        <w:ind w:left="359" w:right="0" w:hanging="359"/>
        <w:jc w:val="both"/>
        <w:rPr>
          <w:sz w:val="22"/>
          <w:szCs w:val="22"/>
        </w:rPr>
      </w:pPr>
      <w:r>
        <w:rPr>
          <w:sz w:val="22"/>
          <w:szCs w:val="22"/>
        </w:rPr>
        <w:t>მხარეები</w:t>
      </w:r>
      <w:r>
        <w:rPr>
          <w:spacing w:val="-11"/>
          <w:sz w:val="22"/>
          <w:szCs w:val="22"/>
        </w:rPr>
        <w:t> </w:t>
      </w:r>
      <w:r>
        <w:rPr>
          <w:sz w:val="22"/>
          <w:szCs w:val="22"/>
        </w:rPr>
        <w:t>უფლებამოსილნი</w:t>
      </w:r>
      <w:r>
        <w:rPr>
          <w:spacing w:val="-8"/>
          <w:sz w:val="22"/>
          <w:szCs w:val="22"/>
        </w:rPr>
        <w:t> </w:t>
      </w:r>
      <w:r>
        <w:rPr>
          <w:sz w:val="22"/>
          <w:szCs w:val="22"/>
        </w:rPr>
        <w:t>არიან</w:t>
      </w:r>
      <w:r>
        <w:rPr>
          <w:spacing w:val="-7"/>
          <w:sz w:val="22"/>
          <w:szCs w:val="22"/>
        </w:rPr>
        <w:t> </w:t>
      </w:r>
      <w:r>
        <w:rPr>
          <w:sz w:val="22"/>
          <w:szCs w:val="22"/>
        </w:rPr>
        <w:t>დავის</w:t>
      </w:r>
      <w:r>
        <w:rPr>
          <w:spacing w:val="-8"/>
          <w:sz w:val="22"/>
          <w:szCs w:val="22"/>
        </w:rPr>
        <w:t> </w:t>
      </w:r>
      <w:r>
        <w:rPr>
          <w:sz w:val="22"/>
          <w:szCs w:val="22"/>
        </w:rPr>
        <w:t>შემთხვევაში</w:t>
      </w:r>
      <w:r>
        <w:rPr>
          <w:spacing w:val="-8"/>
          <w:sz w:val="22"/>
          <w:szCs w:val="22"/>
        </w:rPr>
        <w:t> </w:t>
      </w:r>
      <w:r>
        <w:rPr>
          <w:sz w:val="22"/>
          <w:szCs w:val="22"/>
        </w:rPr>
        <w:t>მიმართონ</w:t>
      </w:r>
      <w:r>
        <w:rPr>
          <w:spacing w:val="-8"/>
          <w:sz w:val="22"/>
          <w:szCs w:val="22"/>
        </w:rPr>
        <w:t> </w:t>
      </w:r>
      <w:r>
        <w:rPr>
          <w:spacing w:val="-2"/>
          <w:sz w:val="22"/>
          <w:szCs w:val="22"/>
        </w:rPr>
        <w:t>სასამართლოს.</w:t>
      </w:r>
    </w:p>
    <w:p>
      <w:pPr>
        <w:pStyle w:val="BodyText"/>
        <w:spacing w:before="45"/>
      </w:pPr>
    </w:p>
    <w:p>
      <w:pPr>
        <w:pStyle w:val="ListParagraph"/>
        <w:numPr>
          <w:ilvl w:val="0"/>
          <w:numId w:val="1"/>
        </w:numPr>
        <w:tabs>
          <w:tab w:pos="3744" w:val="left" w:leader="none"/>
        </w:tabs>
        <w:spacing w:line="240" w:lineRule="auto" w:before="0" w:after="0"/>
        <w:ind w:left="3744" w:right="0" w:hanging="451"/>
        <w:jc w:val="left"/>
        <w:rPr>
          <w:sz w:val="22"/>
          <w:szCs w:val="22"/>
        </w:rPr>
      </w:pPr>
      <w:r>
        <w:rPr>
          <w:sz w:val="22"/>
          <w:szCs w:val="22"/>
        </w:rPr>
        <w:t>ხელშეკრულების</w:t>
      </w:r>
      <w:r>
        <w:rPr>
          <w:spacing w:val="-10"/>
          <w:sz w:val="22"/>
          <w:szCs w:val="22"/>
        </w:rPr>
        <w:t> </w:t>
      </w:r>
      <w:r>
        <w:rPr>
          <w:spacing w:val="-2"/>
          <w:sz w:val="22"/>
          <w:szCs w:val="22"/>
        </w:rPr>
        <w:t>შეწყვეტა</w:t>
      </w:r>
    </w:p>
    <w:p>
      <w:pPr>
        <w:pStyle w:val="BodyText"/>
        <w:spacing w:before="47"/>
      </w:pPr>
    </w:p>
    <w:p>
      <w:pPr>
        <w:pStyle w:val="ListParagraph"/>
        <w:numPr>
          <w:ilvl w:val="1"/>
          <w:numId w:val="1"/>
        </w:numPr>
        <w:tabs>
          <w:tab w:pos="451" w:val="left" w:leader="none"/>
        </w:tabs>
        <w:spacing w:line="259" w:lineRule="auto" w:before="0" w:after="0"/>
        <w:ind w:left="0" w:right="4986" w:firstLine="0"/>
        <w:jc w:val="left"/>
        <w:rPr>
          <w:sz w:val="22"/>
          <w:szCs w:val="22"/>
        </w:rPr>
      </w:pPr>
      <w:r>
        <w:rPr>
          <w:sz w:val="22"/>
          <w:szCs w:val="22"/>
        </w:rPr>
        <w:t>ხელშეკრულების</w:t>
      </w:r>
      <w:r>
        <w:rPr>
          <w:spacing w:val="-14"/>
          <w:sz w:val="22"/>
          <w:szCs w:val="22"/>
        </w:rPr>
        <w:t> </w:t>
      </w:r>
      <w:r>
        <w:rPr>
          <w:sz w:val="22"/>
          <w:szCs w:val="22"/>
        </w:rPr>
        <w:t>შეწყვეტა</w:t>
      </w:r>
      <w:r>
        <w:rPr>
          <w:spacing w:val="-14"/>
          <w:sz w:val="22"/>
          <w:szCs w:val="22"/>
        </w:rPr>
        <w:t> </w:t>
      </w:r>
      <w:r>
        <w:rPr>
          <w:sz w:val="22"/>
          <w:szCs w:val="22"/>
        </w:rPr>
        <w:t>შესაძლებელია: ა) ხელშეკრულების ვადის გასვლით;</w:t>
      </w:r>
    </w:p>
    <w:p>
      <w:pPr>
        <w:pStyle w:val="BodyText"/>
        <w:spacing w:line="259" w:lineRule="auto"/>
        <w:ind w:right="4080"/>
      </w:pPr>
      <w:r>
        <w:rPr/>
        <w:t>ბ)</w:t>
      </w:r>
      <w:r>
        <w:rPr>
          <w:spacing w:val="-12"/>
        </w:rPr>
        <w:t> </w:t>
      </w:r>
      <w:r>
        <w:rPr/>
        <w:t>ასოცირებული/</w:t>
      </w:r>
      <w:r>
        <w:rPr>
          <w:color w:val="FF0000"/>
        </w:rPr>
        <w:t>ინვესტორი</w:t>
      </w:r>
      <w:r>
        <w:rPr>
          <w:color w:val="FF0000"/>
          <w:spacing w:val="-11"/>
        </w:rPr>
        <w:t> </w:t>
      </w:r>
      <w:r>
        <w:rPr/>
        <w:t>წევრის</w:t>
      </w:r>
      <w:r>
        <w:rPr>
          <w:spacing w:val="-11"/>
        </w:rPr>
        <w:t> </w:t>
      </w:r>
      <w:r>
        <w:rPr/>
        <w:t>გარდაცვალებით; გ) კოოპერატივის დაშლით/ლიკვიდაციით;</w:t>
      </w:r>
    </w:p>
    <w:p>
      <w:pPr>
        <w:pStyle w:val="BodyText"/>
        <w:spacing w:line="288" w:lineRule="exact"/>
      </w:pPr>
      <w:r>
        <w:rPr/>
        <w:t>დ)</w:t>
      </w:r>
      <w:r>
        <w:rPr>
          <w:spacing w:val="-4"/>
        </w:rPr>
        <w:t> </w:t>
      </w:r>
      <w:r>
        <w:rPr/>
        <w:t>მხარეთა</w:t>
      </w:r>
      <w:r>
        <w:rPr>
          <w:spacing w:val="-2"/>
        </w:rPr>
        <w:t> შეთანხმებით</w:t>
      </w:r>
    </w:p>
    <w:p>
      <w:pPr>
        <w:pStyle w:val="BodyText"/>
        <w:spacing w:after="0" w:line="288" w:lineRule="exact"/>
        <w:sectPr>
          <w:pgSz w:w="12240" w:h="15840"/>
          <w:pgMar w:top="1420" w:bottom="280" w:left="1440" w:right="1080"/>
        </w:sectPr>
      </w:pPr>
    </w:p>
    <w:p>
      <w:pPr>
        <w:pStyle w:val="ListParagraph"/>
        <w:numPr>
          <w:ilvl w:val="1"/>
          <w:numId w:val="1"/>
        </w:numPr>
        <w:tabs>
          <w:tab w:pos="451" w:val="left" w:leader="none"/>
        </w:tabs>
        <w:spacing w:line="259" w:lineRule="auto" w:before="19" w:after="0"/>
        <w:ind w:left="451" w:right="353" w:hanging="452"/>
        <w:jc w:val="both"/>
        <w:rPr>
          <w:sz w:val="22"/>
          <w:szCs w:val="22"/>
        </w:rPr>
      </w:pPr>
      <w:r>
        <w:rPr>
          <w:sz w:val="22"/>
          <w:szCs w:val="22"/>
        </w:rPr>
        <w:t>ერთ-ერთი მხარის ინიციატივით ხელშეკრულების შეწყვეტის შემთხვევაში მხარე ვალდებულია მეორე მხარეს აცნობოს წერილობით ამ გადაწყვეტილების მიღებიდან 2 კვირის განმავლობაში.</w:t>
      </w:r>
    </w:p>
    <w:p>
      <w:pPr>
        <w:pStyle w:val="BodyText"/>
        <w:spacing w:before="22"/>
      </w:pPr>
    </w:p>
    <w:p>
      <w:pPr>
        <w:pStyle w:val="ListParagraph"/>
        <w:numPr>
          <w:ilvl w:val="0"/>
          <w:numId w:val="1"/>
        </w:numPr>
        <w:tabs>
          <w:tab w:pos="3320" w:val="left" w:leader="none"/>
        </w:tabs>
        <w:spacing w:line="240" w:lineRule="auto" w:before="0" w:after="0"/>
        <w:ind w:left="3320" w:right="0" w:hanging="451"/>
        <w:jc w:val="left"/>
        <w:rPr>
          <w:sz w:val="22"/>
          <w:szCs w:val="22"/>
        </w:rPr>
      </w:pPr>
      <w:r>
        <w:rPr>
          <w:sz w:val="22"/>
          <w:szCs w:val="22"/>
        </w:rPr>
        <w:t>ხელშეკრულების</w:t>
      </w:r>
      <w:r>
        <w:rPr>
          <w:spacing w:val="-10"/>
          <w:sz w:val="22"/>
          <w:szCs w:val="22"/>
        </w:rPr>
        <w:t> </w:t>
      </w:r>
      <w:r>
        <w:rPr>
          <w:sz w:val="22"/>
          <w:szCs w:val="22"/>
        </w:rPr>
        <w:t>მოქმედების</w:t>
      </w:r>
      <w:r>
        <w:rPr>
          <w:spacing w:val="-6"/>
          <w:sz w:val="22"/>
          <w:szCs w:val="22"/>
        </w:rPr>
        <w:t> </w:t>
      </w:r>
      <w:r>
        <w:rPr>
          <w:spacing w:val="-4"/>
          <w:sz w:val="22"/>
          <w:szCs w:val="22"/>
        </w:rPr>
        <w:t>ვადა</w:t>
      </w:r>
    </w:p>
    <w:p>
      <w:pPr>
        <w:pStyle w:val="BodyText"/>
        <w:spacing w:before="47"/>
      </w:pPr>
    </w:p>
    <w:p>
      <w:pPr>
        <w:pStyle w:val="ListParagraph"/>
        <w:numPr>
          <w:ilvl w:val="1"/>
          <w:numId w:val="1"/>
        </w:numPr>
        <w:tabs>
          <w:tab w:pos="359" w:val="left" w:leader="none"/>
        </w:tabs>
        <w:spacing w:line="240" w:lineRule="auto" w:before="0" w:after="0"/>
        <w:ind w:left="359" w:right="0" w:hanging="359"/>
        <w:jc w:val="left"/>
        <w:rPr>
          <w:sz w:val="22"/>
          <w:szCs w:val="22"/>
        </w:rPr>
      </w:pPr>
      <w:r>
        <w:rPr>
          <w:sz w:val="22"/>
          <w:szCs w:val="22"/>
        </w:rPr>
        <w:t>ხელშეკრულება</w:t>
      </w:r>
      <w:r>
        <w:rPr>
          <w:spacing w:val="1"/>
          <w:sz w:val="22"/>
          <w:szCs w:val="22"/>
        </w:rPr>
        <w:t> </w:t>
      </w:r>
      <w:r>
        <w:rPr>
          <w:sz w:val="22"/>
          <w:szCs w:val="22"/>
        </w:rPr>
        <w:t>ძალაში</w:t>
      </w:r>
      <w:r>
        <w:rPr>
          <w:spacing w:val="1"/>
          <w:sz w:val="22"/>
          <w:szCs w:val="22"/>
        </w:rPr>
        <w:t> </w:t>
      </w:r>
      <w:r>
        <w:rPr>
          <w:sz w:val="22"/>
          <w:szCs w:val="22"/>
        </w:rPr>
        <w:t>შედის</w:t>
      </w:r>
      <w:r>
        <w:rPr>
          <w:spacing w:val="3"/>
          <w:sz w:val="22"/>
          <w:szCs w:val="22"/>
        </w:rPr>
        <w:t> </w:t>
      </w:r>
      <w:r>
        <w:rPr>
          <w:sz w:val="22"/>
          <w:szCs w:val="22"/>
        </w:rPr>
        <w:t>მხარეთა მიერ</w:t>
      </w:r>
      <w:r>
        <w:rPr>
          <w:spacing w:val="2"/>
          <w:sz w:val="22"/>
          <w:szCs w:val="22"/>
        </w:rPr>
        <w:t> </w:t>
      </w:r>
      <w:r>
        <w:rPr>
          <w:sz w:val="22"/>
          <w:szCs w:val="22"/>
        </w:rPr>
        <w:t>მისი</w:t>
      </w:r>
      <w:r>
        <w:rPr>
          <w:spacing w:val="2"/>
          <w:sz w:val="22"/>
          <w:szCs w:val="22"/>
        </w:rPr>
        <w:t> </w:t>
      </w:r>
      <w:r>
        <w:rPr>
          <w:sz w:val="22"/>
          <w:szCs w:val="22"/>
        </w:rPr>
        <w:t>ხელმოწერის</w:t>
      </w:r>
      <w:r>
        <w:rPr>
          <w:spacing w:val="3"/>
          <w:sz w:val="22"/>
          <w:szCs w:val="22"/>
        </w:rPr>
        <w:t> </w:t>
      </w:r>
      <w:r>
        <w:rPr>
          <w:sz w:val="22"/>
          <w:szCs w:val="22"/>
        </w:rPr>
        <w:t>მომენტიდან</w:t>
      </w:r>
      <w:r>
        <w:rPr>
          <w:spacing w:val="3"/>
          <w:sz w:val="22"/>
          <w:szCs w:val="22"/>
        </w:rPr>
        <w:t> </w:t>
      </w:r>
      <w:r>
        <w:rPr>
          <w:sz w:val="22"/>
          <w:szCs w:val="22"/>
        </w:rPr>
        <w:t>და</w:t>
      </w:r>
      <w:r>
        <w:rPr>
          <w:spacing w:val="-1"/>
          <w:sz w:val="22"/>
          <w:szCs w:val="22"/>
        </w:rPr>
        <w:t> </w:t>
      </w:r>
      <w:r>
        <w:rPr>
          <w:spacing w:val="-2"/>
          <w:sz w:val="22"/>
          <w:szCs w:val="22"/>
        </w:rPr>
        <w:t>ძალაშია</w:t>
      </w:r>
    </w:p>
    <w:p>
      <w:pPr>
        <w:pStyle w:val="BodyText"/>
        <w:tabs>
          <w:tab w:pos="1953" w:val="left" w:leader="none"/>
        </w:tabs>
        <w:spacing w:before="23"/>
        <w:ind w:left="360"/>
      </w:pPr>
      <w:r>
        <w:rPr>
          <w:rFonts w:ascii="Times New Roman" w:hAnsi="Times New Roman" w:cs="Times New Roman" w:eastAsia="Times New Roman"/>
          <w:u w:val="single"/>
        </w:rPr>
        <w:tab/>
      </w:r>
      <w:r>
        <w:rPr>
          <w:spacing w:val="-4"/>
        </w:rPr>
        <w:t>მდე;</w:t>
      </w:r>
    </w:p>
    <w:p>
      <w:pPr>
        <w:pStyle w:val="ListParagraph"/>
        <w:numPr>
          <w:ilvl w:val="1"/>
          <w:numId w:val="1"/>
        </w:numPr>
        <w:tabs>
          <w:tab w:pos="360" w:val="left" w:leader="none"/>
        </w:tabs>
        <w:spacing w:line="259" w:lineRule="auto" w:before="22" w:after="0"/>
        <w:ind w:left="360" w:right="357" w:hanging="360"/>
        <w:jc w:val="left"/>
        <w:rPr>
          <w:sz w:val="22"/>
          <w:szCs w:val="22"/>
        </w:rPr>
      </w:pPr>
      <w:r>
        <w:rPr>
          <w:sz w:val="22"/>
          <w:szCs w:val="22"/>
        </w:rPr>
        <w:t>ხელშეკრულების</w:t>
      </w:r>
      <w:r>
        <w:rPr>
          <w:spacing w:val="30"/>
          <w:sz w:val="22"/>
          <w:szCs w:val="22"/>
        </w:rPr>
        <w:t> </w:t>
      </w:r>
      <w:r>
        <w:rPr>
          <w:sz w:val="22"/>
          <w:szCs w:val="22"/>
        </w:rPr>
        <w:t>ვადაზე</w:t>
      </w:r>
      <w:r>
        <w:rPr>
          <w:spacing w:val="31"/>
          <w:sz w:val="22"/>
          <w:szCs w:val="22"/>
        </w:rPr>
        <w:t> </w:t>
      </w:r>
      <w:r>
        <w:rPr>
          <w:sz w:val="22"/>
          <w:szCs w:val="22"/>
        </w:rPr>
        <w:t>ადრე</w:t>
      </w:r>
      <w:r>
        <w:rPr>
          <w:spacing w:val="30"/>
          <w:sz w:val="22"/>
          <w:szCs w:val="22"/>
        </w:rPr>
        <w:t> </w:t>
      </w:r>
      <w:r>
        <w:rPr>
          <w:sz w:val="22"/>
          <w:szCs w:val="22"/>
        </w:rPr>
        <w:t>მოშლა</w:t>
      </w:r>
      <w:r>
        <w:rPr>
          <w:spacing w:val="27"/>
          <w:sz w:val="22"/>
          <w:szCs w:val="22"/>
        </w:rPr>
        <w:t> </w:t>
      </w:r>
      <w:r>
        <w:rPr>
          <w:sz w:val="22"/>
          <w:szCs w:val="22"/>
        </w:rPr>
        <w:t>შესაძლებელია</w:t>
      </w:r>
      <w:r>
        <w:rPr>
          <w:spacing w:val="29"/>
          <w:sz w:val="22"/>
          <w:szCs w:val="22"/>
        </w:rPr>
        <w:t> </w:t>
      </w:r>
      <w:r>
        <w:rPr>
          <w:sz w:val="22"/>
          <w:szCs w:val="22"/>
        </w:rPr>
        <w:t>საქართველოს</w:t>
      </w:r>
      <w:r>
        <w:rPr>
          <w:spacing w:val="30"/>
          <w:sz w:val="22"/>
          <w:szCs w:val="22"/>
        </w:rPr>
        <w:t> </w:t>
      </w:r>
      <w:r>
        <w:rPr>
          <w:sz w:val="22"/>
          <w:szCs w:val="22"/>
        </w:rPr>
        <w:t>კანონმდებლობით დადგენილი წესით.</w:t>
      </w:r>
    </w:p>
    <w:p>
      <w:pPr>
        <w:pStyle w:val="BodyText"/>
        <w:spacing w:before="23"/>
      </w:pPr>
    </w:p>
    <w:p>
      <w:pPr>
        <w:pStyle w:val="ListParagraph"/>
        <w:numPr>
          <w:ilvl w:val="0"/>
          <w:numId w:val="1"/>
        </w:numPr>
        <w:tabs>
          <w:tab w:pos="3164" w:val="left" w:leader="none"/>
        </w:tabs>
        <w:spacing w:line="240" w:lineRule="auto" w:before="0" w:after="0"/>
        <w:ind w:left="3164" w:right="0" w:hanging="451"/>
        <w:jc w:val="left"/>
        <w:rPr>
          <w:sz w:val="22"/>
          <w:szCs w:val="22"/>
        </w:rPr>
      </w:pPr>
      <w:r>
        <w:rPr>
          <w:sz w:val="22"/>
          <w:szCs w:val="22"/>
        </w:rPr>
        <w:t>ხელშეკრულებაში</w:t>
      </w:r>
      <w:r>
        <w:rPr>
          <w:spacing w:val="-9"/>
          <w:sz w:val="22"/>
          <w:szCs w:val="22"/>
        </w:rPr>
        <w:t> </w:t>
      </w:r>
      <w:r>
        <w:rPr>
          <w:sz w:val="22"/>
          <w:szCs w:val="22"/>
        </w:rPr>
        <w:t>ცვლილების</w:t>
      </w:r>
      <w:r>
        <w:rPr>
          <w:spacing w:val="-8"/>
          <w:sz w:val="22"/>
          <w:szCs w:val="22"/>
        </w:rPr>
        <w:t> </w:t>
      </w:r>
      <w:r>
        <w:rPr>
          <w:spacing w:val="-2"/>
          <w:sz w:val="22"/>
          <w:szCs w:val="22"/>
        </w:rPr>
        <w:t>შეტანა</w:t>
      </w:r>
    </w:p>
    <w:p>
      <w:pPr>
        <w:pStyle w:val="BodyText"/>
        <w:spacing w:before="47"/>
      </w:pPr>
    </w:p>
    <w:p>
      <w:pPr>
        <w:pStyle w:val="ListParagraph"/>
        <w:numPr>
          <w:ilvl w:val="1"/>
          <w:numId w:val="1"/>
        </w:numPr>
        <w:tabs>
          <w:tab w:pos="360" w:val="left" w:leader="none"/>
          <w:tab w:pos="415" w:val="left" w:leader="none"/>
        </w:tabs>
        <w:spacing w:line="259" w:lineRule="auto" w:before="0" w:after="0"/>
        <w:ind w:left="360" w:right="355" w:hanging="360"/>
        <w:jc w:val="both"/>
        <w:rPr>
          <w:sz w:val="22"/>
          <w:szCs w:val="22"/>
        </w:rPr>
      </w:pPr>
      <w:r>
        <w:rPr>
          <w:sz w:val="22"/>
          <w:szCs w:val="22"/>
        </w:rPr>
        <w:t>ხელშეკრულების</w:t>
      </w:r>
      <w:r>
        <w:rPr>
          <w:sz w:val="22"/>
          <w:szCs w:val="22"/>
        </w:rPr>
        <w:t> არცერთ მხარეს არ აქვს უფლება ცალმხრივად შეცვალოს ხელშეკრულების პირობები;</w:t>
      </w:r>
    </w:p>
    <w:p>
      <w:pPr>
        <w:pStyle w:val="ListParagraph"/>
        <w:numPr>
          <w:ilvl w:val="1"/>
          <w:numId w:val="1"/>
        </w:numPr>
        <w:tabs>
          <w:tab w:pos="360" w:val="left" w:leader="none"/>
          <w:tab w:pos="415" w:val="left" w:leader="none"/>
        </w:tabs>
        <w:spacing w:line="259" w:lineRule="auto" w:before="0" w:after="0"/>
        <w:ind w:left="360" w:right="353" w:hanging="360"/>
        <w:jc w:val="both"/>
        <w:rPr>
          <w:sz w:val="22"/>
          <w:szCs w:val="22"/>
        </w:rPr>
      </w:pPr>
      <w:r>
        <w:rPr>
          <w:sz w:val="22"/>
          <w:szCs w:val="22"/>
        </w:rPr>
        <w:t>თუ</w:t>
      </w:r>
      <w:r>
        <w:rPr>
          <w:spacing w:val="40"/>
          <w:sz w:val="22"/>
          <w:szCs w:val="22"/>
        </w:rPr>
        <w:t> </w:t>
      </w:r>
      <w:r>
        <w:rPr>
          <w:sz w:val="22"/>
          <w:szCs w:val="22"/>
        </w:rPr>
        <w:t>რაიმე წინასწარ გაუთვალისწინებელი მიზეზის გამო წარმოიშვება ხელშეკრულების პირობების შეცვლის აუცილებლობა, ცვლილების შეტანის ინიციატორი ვალდებულია წერილობით</w:t>
      </w:r>
      <w:r>
        <w:rPr>
          <w:spacing w:val="-2"/>
          <w:sz w:val="22"/>
          <w:szCs w:val="22"/>
        </w:rPr>
        <w:t> </w:t>
      </w:r>
      <w:r>
        <w:rPr>
          <w:sz w:val="22"/>
          <w:szCs w:val="22"/>
        </w:rPr>
        <w:t>შეატყობინოს</w:t>
      </w:r>
      <w:r>
        <w:rPr>
          <w:spacing w:val="-3"/>
          <w:sz w:val="22"/>
          <w:szCs w:val="22"/>
        </w:rPr>
        <w:t> </w:t>
      </w:r>
      <w:r>
        <w:rPr>
          <w:sz w:val="22"/>
          <w:szCs w:val="22"/>
        </w:rPr>
        <w:t>მეორე</w:t>
      </w:r>
      <w:r>
        <w:rPr>
          <w:spacing w:val="-4"/>
          <w:sz w:val="22"/>
          <w:szCs w:val="22"/>
        </w:rPr>
        <w:t> </w:t>
      </w:r>
      <w:r>
        <w:rPr>
          <w:sz w:val="22"/>
          <w:szCs w:val="22"/>
        </w:rPr>
        <w:t>მხარეს</w:t>
      </w:r>
      <w:r>
        <w:rPr>
          <w:spacing w:val="-4"/>
          <w:sz w:val="22"/>
          <w:szCs w:val="22"/>
        </w:rPr>
        <w:t> </w:t>
      </w:r>
      <w:r>
        <w:rPr>
          <w:sz w:val="22"/>
          <w:szCs w:val="22"/>
        </w:rPr>
        <w:t>ცვლილების</w:t>
      </w:r>
      <w:r>
        <w:rPr>
          <w:spacing w:val="-3"/>
          <w:sz w:val="22"/>
          <w:szCs w:val="22"/>
        </w:rPr>
        <w:t> </w:t>
      </w:r>
      <w:r>
        <w:rPr>
          <w:sz w:val="22"/>
          <w:szCs w:val="22"/>
        </w:rPr>
        <w:t>განხორციელებამდე</w:t>
      </w:r>
      <w:r>
        <w:rPr>
          <w:spacing w:val="-3"/>
          <w:sz w:val="22"/>
          <w:szCs w:val="22"/>
        </w:rPr>
        <w:t> </w:t>
      </w:r>
      <w:r>
        <w:rPr>
          <w:sz w:val="22"/>
          <w:szCs w:val="22"/>
        </w:rPr>
        <w:t>არაუგვიანეს</w:t>
      </w:r>
      <w:r>
        <w:rPr>
          <w:spacing w:val="-4"/>
          <w:sz w:val="22"/>
          <w:szCs w:val="22"/>
        </w:rPr>
        <w:t> </w:t>
      </w:r>
      <w:r>
        <w:rPr>
          <w:sz w:val="22"/>
          <w:szCs w:val="22"/>
        </w:rPr>
        <w:t>--</w:t>
      </w:r>
    </w:p>
    <w:p>
      <w:pPr>
        <w:pStyle w:val="BodyText"/>
        <w:spacing w:line="289" w:lineRule="exact"/>
        <w:ind w:left="360"/>
        <w:jc w:val="both"/>
      </w:pPr>
      <w:r>
        <w:rPr/>
        <w:t>-- </w:t>
      </w:r>
      <w:r>
        <w:rPr>
          <w:spacing w:val="-2"/>
        </w:rPr>
        <w:t>დღისა;</w:t>
      </w:r>
    </w:p>
    <w:p>
      <w:pPr>
        <w:pStyle w:val="ListParagraph"/>
        <w:numPr>
          <w:ilvl w:val="1"/>
          <w:numId w:val="1"/>
        </w:numPr>
        <w:tabs>
          <w:tab w:pos="360" w:val="left" w:leader="none"/>
        </w:tabs>
        <w:spacing w:line="259" w:lineRule="auto" w:before="21" w:after="0"/>
        <w:ind w:left="360" w:right="352" w:hanging="360"/>
        <w:jc w:val="both"/>
        <w:rPr>
          <w:sz w:val="22"/>
          <w:szCs w:val="22"/>
        </w:rPr>
      </w:pPr>
      <w:r>
        <w:rPr>
          <w:sz w:val="22"/>
          <w:szCs w:val="22"/>
        </w:rPr>
        <w:t>ხელშეკრულების ნებისმიერი ცვლილება უნდა გაფორმდეს ხელშეკრულების დანართის სახით, რომელიც წარმოადგენს ხელშეკრულების განუყოფელ ნაწილს და თან უნდა დაერთოს ამავე ხელშეკრულებას.</w:t>
      </w:r>
    </w:p>
    <w:p>
      <w:pPr>
        <w:pStyle w:val="BodyText"/>
        <w:spacing w:before="22"/>
      </w:pPr>
    </w:p>
    <w:p>
      <w:pPr>
        <w:pStyle w:val="ListParagraph"/>
        <w:numPr>
          <w:ilvl w:val="0"/>
          <w:numId w:val="1"/>
        </w:numPr>
        <w:tabs>
          <w:tab w:pos="4345" w:val="left" w:leader="none"/>
        </w:tabs>
        <w:spacing w:line="240" w:lineRule="auto" w:before="0" w:after="0"/>
        <w:ind w:left="4345" w:right="0" w:hanging="360"/>
        <w:jc w:val="left"/>
        <w:rPr>
          <w:sz w:val="22"/>
          <w:szCs w:val="22"/>
        </w:rPr>
      </w:pPr>
      <w:r>
        <w:rPr>
          <w:spacing w:val="-2"/>
          <w:sz w:val="22"/>
          <w:szCs w:val="22"/>
        </w:rPr>
        <w:t>ფორს-მაჟორი</w:t>
      </w:r>
    </w:p>
    <w:p>
      <w:pPr>
        <w:pStyle w:val="BodyText"/>
        <w:spacing w:before="47"/>
      </w:pPr>
    </w:p>
    <w:p>
      <w:pPr>
        <w:pStyle w:val="ListParagraph"/>
        <w:numPr>
          <w:ilvl w:val="1"/>
          <w:numId w:val="1"/>
        </w:numPr>
        <w:tabs>
          <w:tab w:pos="360" w:val="left" w:leader="none"/>
          <w:tab w:pos="719" w:val="left" w:leader="none"/>
        </w:tabs>
        <w:spacing w:line="259" w:lineRule="auto" w:before="0" w:after="0"/>
        <w:ind w:left="360" w:right="352" w:hanging="360"/>
        <w:jc w:val="both"/>
        <w:rPr>
          <w:sz w:val="22"/>
          <w:szCs w:val="22"/>
        </w:rPr>
      </w:pPr>
      <w:r>
        <w:rPr>
          <w:sz w:val="22"/>
          <w:szCs w:val="22"/>
        </w:rPr>
        <w:t>ხელშეკრულების პირობების ან რომელიმე მათგანის მოქმედების შეჩერება ფორსმაჟორული გარემოებების დადგომის გამო არ ჩაითვლება მხარეთა მიერ ხელშეკრულების პირობების შეუსრულებლობად და ნაკისრი ვალდებულების </w:t>
      </w:r>
      <w:r>
        <w:rPr>
          <w:spacing w:val="-2"/>
          <w:sz w:val="22"/>
          <w:szCs w:val="22"/>
        </w:rPr>
        <w:t>დარღვევად;</w:t>
      </w:r>
    </w:p>
    <w:p>
      <w:pPr>
        <w:pStyle w:val="ListParagraph"/>
        <w:numPr>
          <w:ilvl w:val="1"/>
          <w:numId w:val="1"/>
        </w:numPr>
        <w:tabs>
          <w:tab w:pos="360" w:val="left" w:leader="none"/>
          <w:tab w:pos="719" w:val="left" w:leader="none"/>
        </w:tabs>
        <w:spacing w:line="259" w:lineRule="auto" w:before="0" w:after="0"/>
        <w:ind w:left="360" w:right="353" w:hanging="360"/>
        <w:jc w:val="both"/>
        <w:rPr>
          <w:sz w:val="22"/>
          <w:szCs w:val="22"/>
        </w:rPr>
      </w:pPr>
      <w:r>
        <w:rPr>
          <w:sz w:val="22"/>
          <w:szCs w:val="22"/>
        </w:rPr>
        <w:t>ამ მუხლის მიზნებისათვის „ფორს-მაჟორი“ ნიშნავს მხარეთათვის გადაულახავ და მათი კონტროლისაგან დამოუკიდებელ გარემოებებს, რომლებიც არ არიან დაკავშირებული მხარეთა შეცდომებსა და დაუდევრობასთან და რომლებსაც გააჩნია წინასწარ გაუთვალისწინებელი ხასიათი. ასეთი გარემოება შეიძლება გამოწვეული იქნას სტიქიური მოვლენებით, ეპიდემიით, კარანტინით, საომარი მოქმედებებით და სხვა.</w:t>
      </w:r>
    </w:p>
    <w:p>
      <w:pPr>
        <w:pStyle w:val="ListParagraph"/>
        <w:numPr>
          <w:ilvl w:val="1"/>
          <w:numId w:val="1"/>
        </w:numPr>
        <w:tabs>
          <w:tab w:pos="360" w:val="left" w:leader="none"/>
          <w:tab w:pos="719" w:val="left" w:leader="none"/>
        </w:tabs>
        <w:spacing w:line="259" w:lineRule="auto" w:before="0" w:after="0"/>
        <w:ind w:left="360" w:right="351" w:hanging="360"/>
        <w:jc w:val="both"/>
        <w:rPr>
          <w:sz w:val="22"/>
          <w:szCs w:val="22"/>
        </w:rPr>
      </w:pPr>
      <w:r>
        <w:rPr>
          <w:sz w:val="22"/>
          <w:szCs w:val="22"/>
        </w:rPr>
        <w:t>ფორსმაჟორული გარემოებების დადგომის შემთხვევაში ხელშეკრულების მხარემ, რომლისთვისაც შეუძლებელი ხდება ნაკისრი ვალდებულებების შესრულება, დაუყოვნებლივ უნდა</w:t>
      </w:r>
      <w:r>
        <w:rPr>
          <w:spacing w:val="40"/>
          <w:sz w:val="22"/>
          <w:szCs w:val="22"/>
        </w:rPr>
        <w:t> </w:t>
      </w:r>
      <w:r>
        <w:rPr>
          <w:sz w:val="22"/>
          <w:szCs w:val="22"/>
        </w:rPr>
        <w:t>აცნობოს წერილობით ხელშეკრულების მეორე მხარეს ასეთი გარემოებებისა და გამომწვევი მიზეზების შესახებ.</w:t>
      </w:r>
    </w:p>
    <w:p>
      <w:pPr>
        <w:pStyle w:val="ListParagraph"/>
        <w:spacing w:after="0" w:line="259" w:lineRule="auto"/>
        <w:jc w:val="both"/>
        <w:rPr>
          <w:sz w:val="22"/>
          <w:szCs w:val="22"/>
        </w:rPr>
        <w:sectPr>
          <w:pgSz w:w="12240" w:h="15840"/>
          <w:pgMar w:top="1420" w:bottom="280" w:left="1440" w:right="1080"/>
        </w:sectPr>
      </w:pPr>
    </w:p>
    <w:p>
      <w:pPr>
        <w:pStyle w:val="ListParagraph"/>
        <w:numPr>
          <w:ilvl w:val="0"/>
          <w:numId w:val="1"/>
        </w:numPr>
        <w:tabs>
          <w:tab w:pos="4304" w:val="left" w:leader="none"/>
        </w:tabs>
        <w:spacing w:line="240" w:lineRule="auto" w:before="19" w:after="0"/>
        <w:ind w:left="4304" w:right="0" w:hanging="360"/>
        <w:jc w:val="left"/>
        <w:rPr>
          <w:sz w:val="22"/>
          <w:szCs w:val="22"/>
        </w:rPr>
      </w:pPr>
      <w:r>
        <w:rPr>
          <w:sz w:val="22"/>
          <w:szCs w:val="22"/>
        </w:rPr>
        <w:t>სხვა</w:t>
      </w:r>
      <w:r>
        <w:rPr>
          <w:spacing w:val="-3"/>
          <w:sz w:val="22"/>
          <w:szCs w:val="22"/>
        </w:rPr>
        <w:t> </w:t>
      </w:r>
      <w:r>
        <w:rPr>
          <w:spacing w:val="-2"/>
          <w:sz w:val="22"/>
          <w:szCs w:val="22"/>
        </w:rPr>
        <w:t>პირობები</w:t>
      </w:r>
    </w:p>
    <w:p>
      <w:pPr>
        <w:pStyle w:val="BodyText"/>
        <w:spacing w:before="50"/>
      </w:pPr>
    </w:p>
    <w:p>
      <w:pPr>
        <w:pStyle w:val="ListParagraph"/>
        <w:numPr>
          <w:ilvl w:val="1"/>
          <w:numId w:val="1"/>
        </w:numPr>
        <w:tabs>
          <w:tab w:pos="360" w:val="left" w:leader="none"/>
          <w:tab w:pos="720" w:val="left" w:leader="none"/>
        </w:tabs>
        <w:spacing w:line="273" w:lineRule="auto" w:before="0" w:after="0"/>
        <w:ind w:left="360" w:right="386" w:hanging="360"/>
        <w:jc w:val="left"/>
        <w:rPr>
          <w:sz w:val="22"/>
          <w:szCs w:val="22"/>
        </w:rPr>
      </w:pPr>
      <w:r>
        <w:rPr>
          <w:sz w:val="22"/>
          <w:szCs w:val="22"/>
        </w:rPr>
        <w:t>ხელშეკრულების</w:t>
      </w:r>
      <w:r>
        <w:rPr>
          <w:spacing w:val="-4"/>
          <w:sz w:val="22"/>
          <w:szCs w:val="22"/>
        </w:rPr>
        <w:t> </w:t>
      </w:r>
      <w:r>
        <w:rPr>
          <w:sz w:val="22"/>
          <w:szCs w:val="22"/>
        </w:rPr>
        <w:t>მხარეებს</w:t>
      </w:r>
      <w:r>
        <w:rPr>
          <w:spacing w:val="-5"/>
          <w:sz w:val="22"/>
          <w:szCs w:val="22"/>
        </w:rPr>
        <w:t> </w:t>
      </w:r>
      <w:r>
        <w:rPr>
          <w:sz w:val="22"/>
          <w:szCs w:val="22"/>
        </w:rPr>
        <w:t>შორის</w:t>
      </w:r>
      <w:r>
        <w:rPr>
          <w:spacing w:val="-3"/>
          <w:sz w:val="22"/>
          <w:szCs w:val="22"/>
        </w:rPr>
        <w:t> </w:t>
      </w:r>
      <w:r>
        <w:rPr>
          <w:sz w:val="22"/>
          <w:szCs w:val="22"/>
        </w:rPr>
        <w:t>არსებული</w:t>
      </w:r>
      <w:r>
        <w:rPr>
          <w:spacing w:val="-6"/>
          <w:sz w:val="22"/>
          <w:szCs w:val="22"/>
        </w:rPr>
        <w:t> </w:t>
      </w:r>
      <w:r>
        <w:rPr>
          <w:sz w:val="22"/>
          <w:szCs w:val="22"/>
        </w:rPr>
        <w:t>დავები</w:t>
      </w:r>
      <w:r>
        <w:rPr>
          <w:spacing w:val="-5"/>
          <w:sz w:val="22"/>
          <w:szCs w:val="22"/>
        </w:rPr>
        <w:t> </w:t>
      </w:r>
      <w:r>
        <w:rPr>
          <w:sz w:val="22"/>
          <w:szCs w:val="22"/>
        </w:rPr>
        <w:t>წყდება</w:t>
      </w:r>
      <w:r>
        <w:rPr>
          <w:spacing w:val="-7"/>
          <w:sz w:val="22"/>
          <w:szCs w:val="22"/>
        </w:rPr>
        <w:t> </w:t>
      </w:r>
      <w:r>
        <w:rPr>
          <w:sz w:val="22"/>
          <w:szCs w:val="22"/>
        </w:rPr>
        <w:t>მათ</w:t>
      </w:r>
      <w:r>
        <w:rPr>
          <w:spacing w:val="-6"/>
          <w:sz w:val="22"/>
          <w:szCs w:val="22"/>
        </w:rPr>
        <w:t> </w:t>
      </w:r>
      <w:r>
        <w:rPr>
          <w:sz w:val="22"/>
          <w:szCs w:val="22"/>
        </w:rPr>
        <w:t>შორის</w:t>
      </w:r>
      <w:r>
        <w:rPr>
          <w:spacing w:val="-4"/>
          <w:sz w:val="22"/>
          <w:szCs w:val="22"/>
        </w:rPr>
        <w:t> </w:t>
      </w:r>
      <w:r>
        <w:rPr>
          <w:sz w:val="22"/>
          <w:szCs w:val="22"/>
        </w:rPr>
        <w:t>შეთანხმებით ან სასამართლოში;</w:t>
      </w:r>
    </w:p>
    <w:p>
      <w:pPr>
        <w:pStyle w:val="ListParagraph"/>
        <w:numPr>
          <w:ilvl w:val="1"/>
          <w:numId w:val="1"/>
        </w:numPr>
        <w:tabs>
          <w:tab w:pos="360" w:val="left" w:leader="none"/>
          <w:tab w:pos="720" w:val="left" w:leader="none"/>
        </w:tabs>
        <w:spacing w:line="259" w:lineRule="auto" w:before="2" w:after="0"/>
        <w:ind w:left="360" w:right="355" w:hanging="360"/>
        <w:jc w:val="left"/>
        <w:rPr>
          <w:sz w:val="22"/>
          <w:szCs w:val="22"/>
        </w:rPr>
      </w:pPr>
      <w:r>
        <w:rPr>
          <w:sz w:val="22"/>
          <w:szCs w:val="22"/>
        </w:rPr>
        <w:t>ხელშეკრულება</w:t>
      </w:r>
      <w:r>
        <w:rPr>
          <w:spacing w:val="-11"/>
          <w:sz w:val="22"/>
          <w:szCs w:val="22"/>
        </w:rPr>
        <w:t> </w:t>
      </w:r>
      <w:r>
        <w:rPr>
          <w:sz w:val="22"/>
          <w:szCs w:val="22"/>
        </w:rPr>
        <w:t>შედგენილია</w:t>
      </w:r>
      <w:r>
        <w:rPr>
          <w:spacing w:val="-11"/>
          <w:sz w:val="22"/>
          <w:szCs w:val="22"/>
        </w:rPr>
        <w:t> </w:t>
      </w:r>
      <w:r>
        <w:rPr>
          <w:sz w:val="22"/>
          <w:szCs w:val="22"/>
        </w:rPr>
        <w:t>ქართულ</w:t>
      </w:r>
      <w:r>
        <w:rPr>
          <w:spacing w:val="-13"/>
          <w:sz w:val="22"/>
          <w:szCs w:val="22"/>
        </w:rPr>
        <w:t> </w:t>
      </w:r>
      <w:r>
        <w:rPr>
          <w:sz w:val="22"/>
          <w:szCs w:val="22"/>
        </w:rPr>
        <w:t>ენაზე,</w:t>
      </w:r>
      <w:r>
        <w:rPr>
          <w:spacing w:val="-11"/>
          <w:sz w:val="22"/>
          <w:szCs w:val="22"/>
        </w:rPr>
        <w:t> </w:t>
      </w:r>
      <w:r>
        <w:rPr>
          <w:sz w:val="22"/>
          <w:szCs w:val="22"/>
        </w:rPr>
        <w:t>ორ</w:t>
      </w:r>
      <w:r>
        <w:rPr>
          <w:spacing w:val="-11"/>
          <w:sz w:val="22"/>
          <w:szCs w:val="22"/>
        </w:rPr>
        <w:t> </w:t>
      </w:r>
      <w:r>
        <w:rPr>
          <w:sz w:val="22"/>
          <w:szCs w:val="22"/>
        </w:rPr>
        <w:t>თანაბარი</w:t>
      </w:r>
      <w:r>
        <w:rPr>
          <w:spacing w:val="-12"/>
          <w:sz w:val="22"/>
          <w:szCs w:val="22"/>
        </w:rPr>
        <w:t> </w:t>
      </w:r>
      <w:r>
        <w:rPr>
          <w:sz w:val="22"/>
          <w:szCs w:val="22"/>
        </w:rPr>
        <w:t>იურიდიული</w:t>
      </w:r>
      <w:r>
        <w:rPr>
          <w:spacing w:val="-11"/>
          <w:sz w:val="22"/>
          <w:szCs w:val="22"/>
        </w:rPr>
        <w:t> </w:t>
      </w:r>
      <w:r>
        <w:rPr>
          <w:sz w:val="22"/>
          <w:szCs w:val="22"/>
        </w:rPr>
        <w:t>ძალის</w:t>
      </w:r>
      <w:r>
        <w:rPr>
          <w:spacing w:val="-12"/>
          <w:sz w:val="22"/>
          <w:szCs w:val="22"/>
        </w:rPr>
        <w:t> </w:t>
      </w:r>
      <w:r>
        <w:rPr>
          <w:sz w:val="22"/>
          <w:szCs w:val="22"/>
        </w:rPr>
        <w:t>მქონე ეგზემპლარად და თითოეული ინახება თითო მხარესთან.</w:t>
      </w:r>
    </w:p>
    <w:p>
      <w:pPr>
        <w:pStyle w:val="BodyText"/>
      </w:pPr>
    </w:p>
    <w:p>
      <w:pPr>
        <w:pStyle w:val="BodyText"/>
      </w:pPr>
    </w:p>
    <w:p>
      <w:pPr>
        <w:pStyle w:val="BodyText"/>
        <w:spacing w:before="76"/>
      </w:pPr>
    </w:p>
    <w:p>
      <w:pPr>
        <w:pStyle w:val="ListParagraph"/>
        <w:numPr>
          <w:ilvl w:val="0"/>
          <w:numId w:val="1"/>
        </w:numPr>
        <w:tabs>
          <w:tab w:pos="3123" w:val="left" w:leader="none"/>
        </w:tabs>
        <w:spacing w:line="240" w:lineRule="auto" w:before="1" w:after="0"/>
        <w:ind w:left="3123" w:right="0" w:hanging="360"/>
        <w:jc w:val="left"/>
        <w:rPr>
          <w:sz w:val="22"/>
          <w:szCs w:val="22"/>
        </w:rPr>
      </w:pPr>
      <w:r>
        <w:rPr>
          <w:sz w:val="22"/>
          <w:szCs w:val="22"/>
        </w:rPr>
        <w:t>მხარეთა</w:t>
      </w:r>
      <w:r>
        <w:rPr>
          <w:spacing w:val="-6"/>
          <w:sz w:val="22"/>
          <w:szCs w:val="22"/>
        </w:rPr>
        <w:t> </w:t>
      </w:r>
      <w:r>
        <w:rPr>
          <w:sz w:val="22"/>
          <w:szCs w:val="22"/>
        </w:rPr>
        <w:t>რეკვიზიტები</w:t>
      </w:r>
      <w:r>
        <w:rPr>
          <w:spacing w:val="-7"/>
          <w:sz w:val="22"/>
          <w:szCs w:val="22"/>
        </w:rPr>
        <w:t> </w:t>
      </w:r>
      <w:r>
        <w:rPr>
          <w:sz w:val="22"/>
          <w:szCs w:val="22"/>
        </w:rPr>
        <w:t>და</w:t>
      </w:r>
      <w:r>
        <w:rPr>
          <w:spacing w:val="-3"/>
          <w:sz w:val="22"/>
          <w:szCs w:val="22"/>
        </w:rPr>
        <w:t> </w:t>
      </w:r>
      <w:r>
        <w:rPr>
          <w:spacing w:val="-2"/>
          <w:sz w:val="22"/>
          <w:szCs w:val="22"/>
        </w:rPr>
        <w:t>ხელმოწერა</w:t>
      </w:r>
    </w:p>
    <w:p>
      <w:pPr>
        <w:pStyle w:val="BodyText"/>
        <w:spacing w:before="208"/>
      </w:pPr>
    </w:p>
    <w:p>
      <w:pPr>
        <w:pStyle w:val="BodyText"/>
        <w:tabs>
          <w:tab w:pos="5852" w:val="left" w:leader="none"/>
        </w:tabs>
      </w:pPr>
      <w:r>
        <w:rPr>
          <w:spacing w:val="-2"/>
        </w:rPr>
        <w:t>კოოპერატივი:</w:t>
      </w:r>
      <w:r>
        <w:rPr/>
        <w:tab/>
      </w:r>
      <w:r>
        <w:rPr>
          <w:spacing w:val="-2"/>
        </w:rPr>
        <w:t>ასოცირებული/</w:t>
      </w:r>
      <w:r>
        <w:rPr>
          <w:color w:val="FF0000"/>
          <w:spacing w:val="-2"/>
        </w:rPr>
        <w:t>ინვესტორი</w:t>
      </w:r>
      <w:r>
        <w:rPr>
          <w:color w:val="FF0000"/>
          <w:spacing w:val="25"/>
        </w:rPr>
        <w:t> </w:t>
      </w:r>
      <w:r>
        <w:rPr>
          <w:spacing w:val="-2"/>
        </w:rPr>
        <w:t>წევრი:</w:t>
      </w:r>
    </w:p>
    <w:p>
      <w:pPr>
        <w:pStyle w:val="BodyText"/>
      </w:pPr>
    </w:p>
    <w:p>
      <w:pPr>
        <w:pStyle w:val="BodyText"/>
      </w:pPr>
    </w:p>
    <w:p>
      <w:pPr>
        <w:pStyle w:val="BodyText"/>
      </w:pPr>
    </w:p>
    <w:p>
      <w:pPr>
        <w:pStyle w:val="BodyText"/>
      </w:pPr>
    </w:p>
    <w:p>
      <w:pPr>
        <w:pStyle w:val="BodyText"/>
        <w:spacing w:before="150"/>
      </w:pPr>
    </w:p>
    <w:p>
      <w:pPr>
        <w:spacing w:before="0"/>
        <w:ind w:left="605" w:right="0" w:firstLine="0"/>
        <w:jc w:val="left"/>
        <w:rPr>
          <w:sz w:val="28"/>
          <w:szCs w:val="28"/>
        </w:rPr>
      </w:pPr>
      <w:r>
        <w:rPr>
          <w:color w:val="FF0000"/>
          <w:sz w:val="28"/>
          <w:szCs w:val="28"/>
        </w:rPr>
        <w:t>წინამდებარე</w:t>
      </w:r>
      <w:r>
        <w:rPr>
          <w:color w:val="FF0000"/>
          <w:spacing w:val="-13"/>
          <w:sz w:val="28"/>
          <w:szCs w:val="28"/>
        </w:rPr>
        <w:t> </w:t>
      </w:r>
      <w:r>
        <w:rPr>
          <w:color w:val="FF0000"/>
          <w:sz w:val="28"/>
          <w:szCs w:val="28"/>
        </w:rPr>
        <w:t>ხელშეკრულება</w:t>
      </w:r>
      <w:r>
        <w:rPr>
          <w:color w:val="FF0000"/>
          <w:spacing w:val="-9"/>
          <w:sz w:val="28"/>
          <w:szCs w:val="28"/>
        </w:rPr>
        <w:t> </w:t>
      </w:r>
      <w:r>
        <w:rPr>
          <w:color w:val="FF0000"/>
          <w:sz w:val="28"/>
          <w:szCs w:val="28"/>
        </w:rPr>
        <w:t>ატარებს</w:t>
      </w:r>
      <w:r>
        <w:rPr>
          <w:color w:val="FF0000"/>
          <w:spacing w:val="-12"/>
          <w:sz w:val="28"/>
          <w:szCs w:val="28"/>
        </w:rPr>
        <w:t> </w:t>
      </w:r>
      <w:r>
        <w:rPr>
          <w:color w:val="FF0000"/>
          <w:sz w:val="28"/>
          <w:szCs w:val="28"/>
        </w:rPr>
        <w:t>სარეკომენდაციო</w:t>
      </w:r>
      <w:r>
        <w:rPr>
          <w:color w:val="FF0000"/>
          <w:spacing w:val="-10"/>
          <w:sz w:val="28"/>
          <w:szCs w:val="28"/>
        </w:rPr>
        <w:t> </w:t>
      </w:r>
      <w:r>
        <w:rPr>
          <w:color w:val="FF0000"/>
          <w:spacing w:val="-2"/>
          <w:sz w:val="28"/>
          <w:szCs w:val="28"/>
        </w:rPr>
        <w:t>ხასიათს.</w:t>
      </w:r>
    </w:p>
    <w:sectPr>
      <w:pgSz w:w="12240" w:h="15840"/>
      <w:pgMar w:top="142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Segoe UI Symbol">
    <w:altName w:val="Segoe UI Symbol"/>
    <w:charset w:val="1"/>
    <w:family w:val="swiss"/>
    <w:pitch w:val="variable"/>
  </w:font>
  <w:font w:name="Sylfaen">
    <w:altName w:val="Sylfaen"/>
    <w:charset w:val="1"/>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98" w:hanging="360"/>
        <w:jc w:val="right"/>
      </w:pPr>
      <w:rPr>
        <w:rFonts w:hint="default" w:ascii="Sylfaen" w:hAnsi="Sylfaen" w:eastAsia="Sylfaen" w:cs="Sylfaen"/>
        <w:b w:val="0"/>
        <w:bCs w:val="0"/>
        <w:i w:val="0"/>
        <w:iCs w:val="0"/>
        <w:spacing w:val="0"/>
        <w:w w:val="100"/>
        <w:sz w:val="22"/>
        <w:szCs w:val="22"/>
      </w:rPr>
    </w:lvl>
    <w:lvl w:ilvl="1">
      <w:start w:val="1"/>
      <w:numFmt w:val="decimal"/>
      <w:lvlText w:val="%1.%2."/>
      <w:lvlJc w:val="left"/>
      <w:pPr>
        <w:ind w:left="360" w:hanging="360"/>
        <w:jc w:val="left"/>
      </w:pPr>
      <w:rPr>
        <w:rFonts w:hint="default" w:ascii="Sylfaen" w:hAnsi="Sylfaen" w:eastAsia="Sylfaen" w:cs="Sylfaen"/>
        <w:b w:val="0"/>
        <w:bCs w:val="0"/>
        <w:i w:val="0"/>
        <w:iCs w:val="0"/>
        <w:spacing w:val="0"/>
        <w:w w:val="100"/>
        <w:sz w:val="22"/>
        <w:szCs w:val="22"/>
      </w:rPr>
    </w:lvl>
    <w:lvl w:ilvl="2">
      <w:start w:val="0"/>
      <w:numFmt w:val="bullet"/>
      <w:lvlText w:val="•"/>
      <w:lvlJc w:val="left"/>
      <w:pPr>
        <w:ind w:left="900" w:hanging="360"/>
      </w:pPr>
      <w:rPr>
        <w:rFonts w:hint="default"/>
      </w:rPr>
    </w:lvl>
    <w:lvl w:ilvl="3">
      <w:start w:val="0"/>
      <w:numFmt w:val="bullet"/>
      <w:lvlText w:val="•"/>
      <w:lvlJc w:val="left"/>
      <w:pPr>
        <w:ind w:left="2002" w:hanging="360"/>
      </w:pPr>
      <w:rPr>
        <w:rFonts w:hint="default"/>
      </w:rPr>
    </w:lvl>
    <w:lvl w:ilvl="4">
      <w:start w:val="0"/>
      <w:numFmt w:val="bullet"/>
      <w:lvlText w:val="•"/>
      <w:lvlJc w:val="left"/>
      <w:pPr>
        <w:ind w:left="3105" w:hanging="360"/>
      </w:pPr>
      <w:rPr>
        <w:rFonts w:hint="default"/>
      </w:rPr>
    </w:lvl>
    <w:lvl w:ilvl="5">
      <w:start w:val="0"/>
      <w:numFmt w:val="bullet"/>
      <w:lvlText w:val="•"/>
      <w:lvlJc w:val="left"/>
      <w:pPr>
        <w:ind w:left="4207" w:hanging="360"/>
      </w:pPr>
      <w:rPr>
        <w:rFonts w:hint="default"/>
      </w:rPr>
    </w:lvl>
    <w:lvl w:ilvl="6">
      <w:start w:val="0"/>
      <w:numFmt w:val="bullet"/>
      <w:lvlText w:val="•"/>
      <w:lvlJc w:val="left"/>
      <w:pPr>
        <w:ind w:left="5310" w:hanging="360"/>
      </w:pPr>
      <w:rPr>
        <w:rFonts w:hint="default"/>
      </w:rPr>
    </w:lvl>
    <w:lvl w:ilvl="7">
      <w:start w:val="0"/>
      <w:numFmt w:val="bullet"/>
      <w:lvlText w:val="•"/>
      <w:lvlJc w:val="left"/>
      <w:pPr>
        <w:ind w:left="6412" w:hanging="360"/>
      </w:pPr>
      <w:rPr>
        <w:rFonts w:hint="default"/>
      </w:rPr>
    </w:lvl>
    <w:lvl w:ilvl="8">
      <w:start w:val="0"/>
      <w:numFmt w:val="bullet"/>
      <w:lvlText w:val="•"/>
      <w:lvlJc w:val="left"/>
      <w:pPr>
        <w:ind w:left="7515"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ylfaen" w:hAnsi="Sylfaen" w:eastAsia="Sylfaen" w:cs="Sylfaen"/>
    </w:rPr>
  </w:style>
  <w:style w:styleId="BodyText" w:type="paragraph">
    <w:name w:val="Body Text"/>
    <w:basedOn w:val="Normal"/>
    <w:uiPriority w:val="1"/>
    <w:qFormat/>
    <w:pPr/>
    <w:rPr>
      <w:rFonts w:ascii="Sylfaen" w:hAnsi="Sylfaen" w:eastAsia="Sylfaen" w:cs="Sylfaen"/>
      <w:sz w:val="22"/>
      <w:szCs w:val="22"/>
    </w:rPr>
  </w:style>
  <w:style w:styleId="ListParagraph" w:type="paragraph">
    <w:name w:val="List Paragraph"/>
    <w:basedOn w:val="Normal"/>
    <w:uiPriority w:val="1"/>
    <w:qFormat/>
    <w:pPr>
      <w:ind w:left="360" w:hanging="360"/>
      <w:jc w:val="both"/>
    </w:pPr>
    <w:rPr>
      <w:rFonts w:ascii="Sylfaen" w:hAnsi="Sylfaen" w:eastAsia="Sylfaen" w:cs="Sylfaen"/>
    </w:rPr>
  </w:style>
  <w:style w:styleId="TableParagraph" w:type="paragraph">
    <w:name w:val="Table Paragraph"/>
    <w:basedOn w:val="Normal"/>
    <w:uiPriority w:val="1"/>
    <w:qFormat/>
    <w:pPr/>
    <w:rPr>
      <w:rFonts w:ascii="Sylfaen" w:hAnsi="Sylfaen" w:eastAsia="Sylfaen" w:cs="Sylfae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თამარ ზენაიშვილი</dc:creator>
  <dcterms:created xsi:type="dcterms:W3CDTF">2025-09-17T06:57:46Z</dcterms:created>
  <dcterms:modified xsi:type="dcterms:W3CDTF">2025-09-17T06:57:46Z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Microsoft® Word LTSC</vt:lpwstr>
  </property>
  <property fmtid="{D5CDD505-2E9C-101B-9397-08002B2CF9AE}" pid="4" name="LastSaved">
    <vt:filetime>2025-09-17T00:00:00Z</vt:filetime>
  </property>
  <property fmtid="{D5CDD505-2E9C-101B-9397-08002B2CF9AE}" pid="5" name="Producer">
    <vt:lpwstr>Microsoft® Word LTSC</vt:lpwstr>
  </property>
</Properties>
</file>